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0000FF"/>
          <w:sz w:val="36"/>
          <w:szCs w:val="36"/>
        </w:rPr>
      </w:pPr>
    </w:p>
    <w:p>
      <w:pPr>
        <w:rPr>
          <w:rFonts w:ascii="仿宋_GB2312" w:hAnsi="仿宋_GB2312" w:eastAsia="仿宋_GB2312" w:cs="仿宋_GB2312"/>
          <w:color w:val="0000FF"/>
          <w:sz w:val="36"/>
          <w:szCs w:val="36"/>
        </w:rPr>
      </w:pPr>
    </w:p>
    <w:p>
      <w:pPr>
        <w:rPr>
          <w:rFonts w:ascii="仿宋_GB2312" w:hAnsi="仿宋_GB2312" w:eastAsia="仿宋_GB2312" w:cs="仿宋_GB2312"/>
          <w:color w:val="0000FF"/>
          <w:sz w:val="36"/>
          <w:szCs w:val="36"/>
        </w:rPr>
      </w:pPr>
    </w:p>
    <w:p>
      <w:pPr>
        <w:rPr>
          <w:rFonts w:ascii="仿宋_GB2312" w:hAnsi="仿宋_GB2312" w:eastAsia="仿宋_GB2312" w:cs="仿宋_GB2312"/>
          <w:color w:val="0000FF"/>
          <w:sz w:val="36"/>
          <w:szCs w:val="36"/>
        </w:rPr>
      </w:pPr>
    </w:p>
    <w:p>
      <w:pPr>
        <w:jc w:val="center"/>
        <w:rPr>
          <w:b/>
          <w:bCs/>
          <w:sz w:val="72"/>
          <w:szCs w:val="72"/>
        </w:rPr>
      </w:pPr>
      <w:r>
        <w:rPr>
          <w:b/>
          <w:bCs/>
          <w:sz w:val="72"/>
          <w:szCs w:val="72"/>
        </w:rPr>
        <w:t>建设项目环境影响报告表</w:t>
      </w:r>
    </w:p>
    <w:p>
      <w:pPr>
        <w:adjustRightInd w:val="0"/>
        <w:snapToGrid w:val="0"/>
        <w:spacing w:before="192" w:beforeLines="80"/>
        <w:jc w:val="center"/>
        <w:rPr>
          <w:bCs/>
          <w:sz w:val="48"/>
          <w:szCs w:val="48"/>
        </w:rPr>
      </w:pPr>
      <w:r>
        <w:rPr>
          <w:bCs/>
          <w:sz w:val="48"/>
          <w:szCs w:val="48"/>
        </w:rPr>
        <w:t>（污染影响类）</w:t>
      </w:r>
    </w:p>
    <w:p/>
    <w:p>
      <w:pPr>
        <w:jc w:val="center"/>
        <w:rPr>
          <w:sz w:val="52"/>
          <w:szCs w:val="52"/>
        </w:rPr>
      </w:pPr>
    </w:p>
    <w:p>
      <w:pPr>
        <w:ind w:firstLine="1040"/>
        <w:rPr>
          <w:sz w:val="44"/>
          <w:szCs w:val="44"/>
        </w:rPr>
      </w:pPr>
    </w:p>
    <w:p>
      <w:pPr>
        <w:ind w:firstLine="1040"/>
        <w:rPr>
          <w:sz w:val="44"/>
          <w:szCs w:val="44"/>
        </w:rPr>
      </w:pPr>
    </w:p>
    <w:p>
      <w:pPr>
        <w:ind w:firstLine="1040"/>
        <w:rPr>
          <w:sz w:val="44"/>
          <w:szCs w:val="44"/>
        </w:rPr>
      </w:pPr>
    </w:p>
    <w:p>
      <w:pPr>
        <w:ind w:firstLine="1040"/>
        <w:rPr>
          <w:sz w:val="44"/>
          <w:szCs w:val="44"/>
        </w:rPr>
      </w:pPr>
    </w:p>
    <w:p>
      <w:pPr>
        <w:adjustRightInd w:val="0"/>
        <w:snapToGrid w:val="0"/>
        <w:spacing w:line="360" w:lineRule="auto"/>
        <w:jc w:val="both"/>
        <w:rPr>
          <w:rFonts w:hint="default" w:eastAsia="宋体"/>
          <w:sz w:val="32"/>
          <w:szCs w:val="32"/>
          <w:u w:val="single"/>
          <w:lang w:val="en-US" w:eastAsia="zh-CN"/>
        </w:rPr>
      </w:pPr>
      <w:bookmarkStart w:id="0" w:name="_Hlk57884087"/>
      <w:r>
        <w:rPr>
          <w:sz w:val="32"/>
          <w:szCs w:val="32"/>
        </w:rPr>
        <w:t>项目名称：</w:t>
      </w:r>
      <w:r>
        <w:rPr>
          <w:rFonts w:hint="eastAsia"/>
          <w:sz w:val="32"/>
          <w:szCs w:val="32"/>
          <w:u w:val="single"/>
          <w:lang w:val="en-US" w:eastAsia="zh-CN"/>
        </w:rPr>
        <w:t xml:space="preserve">        </w:t>
      </w:r>
      <w:r>
        <w:rPr>
          <w:rFonts w:hint="eastAsia"/>
          <w:sz w:val="32"/>
          <w:szCs w:val="32"/>
          <w:u w:val="single"/>
          <w:lang w:eastAsia="zh-CN"/>
        </w:rPr>
        <w:t>内镜微创医疗器械研发及生产项目</w:t>
      </w:r>
      <w:r>
        <w:rPr>
          <w:rFonts w:hint="eastAsia"/>
          <w:sz w:val="32"/>
          <w:szCs w:val="32"/>
          <w:u w:val="single"/>
          <w:lang w:val="en-US" w:eastAsia="zh-CN"/>
        </w:rPr>
        <w:t xml:space="preserve">         </w:t>
      </w:r>
    </w:p>
    <w:p>
      <w:pPr>
        <w:adjustRightInd w:val="0"/>
        <w:snapToGrid w:val="0"/>
        <w:spacing w:line="360" w:lineRule="auto"/>
        <w:rPr>
          <w:sz w:val="32"/>
          <w:szCs w:val="32"/>
          <w:u w:val="single"/>
        </w:rPr>
      </w:pPr>
      <w:r>
        <w:rPr>
          <w:sz w:val="32"/>
          <w:szCs w:val="32"/>
        </w:rPr>
        <w:t>建设单位（盖章）：</w:t>
      </w:r>
      <w:r>
        <w:rPr>
          <w:rFonts w:hint="eastAsia"/>
          <w:sz w:val="32"/>
          <w:szCs w:val="32"/>
          <w:u w:val="single"/>
        </w:rPr>
        <w:t xml:space="preserve">    </w:t>
      </w:r>
      <w:r>
        <w:rPr>
          <w:rFonts w:hint="eastAsia"/>
          <w:sz w:val="32"/>
          <w:szCs w:val="32"/>
          <w:u w:val="single"/>
          <w:lang w:eastAsia="zh-CN"/>
        </w:rPr>
        <w:t>常州凯士多医疗科技有限公司</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adjustRightInd w:val="0"/>
        <w:snapToGrid w:val="0"/>
        <w:spacing w:line="288" w:lineRule="auto"/>
        <w:rPr>
          <w:sz w:val="32"/>
          <w:szCs w:val="32"/>
          <w:u w:val="single"/>
        </w:rPr>
      </w:pPr>
      <w:r>
        <w:rPr>
          <w:sz w:val="32"/>
          <w:szCs w:val="32"/>
        </w:rPr>
        <w:t>编制日期：</w:t>
      </w:r>
      <w:r>
        <w:rPr>
          <w:sz w:val="32"/>
          <w:szCs w:val="32"/>
          <w:u w:val="single"/>
        </w:rPr>
        <w:t xml:space="preserve">         </w:t>
      </w:r>
      <w:r>
        <w:rPr>
          <w:rFonts w:hint="eastAsia"/>
          <w:sz w:val="32"/>
          <w:szCs w:val="32"/>
          <w:u w:val="single"/>
        </w:rPr>
        <w:t xml:space="preserve">         </w:t>
      </w:r>
      <w:r>
        <w:rPr>
          <w:sz w:val="32"/>
          <w:szCs w:val="32"/>
          <w:u w:val="single"/>
        </w:rPr>
        <w:t>2021年</w:t>
      </w:r>
      <w:r>
        <w:rPr>
          <w:rFonts w:hint="eastAsia"/>
          <w:sz w:val="32"/>
          <w:szCs w:val="32"/>
          <w:u w:val="single"/>
        </w:rPr>
        <w:t>1</w:t>
      </w:r>
      <w:r>
        <w:rPr>
          <w:rFonts w:hint="eastAsia"/>
          <w:sz w:val="32"/>
          <w:szCs w:val="32"/>
          <w:u w:val="single"/>
          <w:lang w:val="en-US" w:eastAsia="zh-CN"/>
        </w:rPr>
        <w:t>2</w:t>
      </w:r>
      <w:r>
        <w:rPr>
          <w:sz w:val="32"/>
          <w:szCs w:val="32"/>
          <w:u w:val="single"/>
        </w:rPr>
        <w:t xml:space="preserve">月     </w:t>
      </w:r>
      <w:r>
        <w:rPr>
          <w:rFonts w:hint="eastAsia"/>
          <w:sz w:val="32"/>
          <w:szCs w:val="32"/>
          <w:u w:val="single"/>
        </w:rPr>
        <w:t xml:space="preserve">  </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adjustRightInd w:val="0"/>
        <w:snapToGrid w:val="0"/>
        <w:spacing w:line="288" w:lineRule="auto"/>
        <w:ind w:firstLine="1040"/>
        <w:rPr>
          <w:color w:val="0000FF"/>
          <w:sz w:val="36"/>
          <w:szCs w:val="36"/>
          <w:u w:val="single"/>
        </w:rPr>
      </w:pPr>
    </w:p>
    <w:p>
      <w:pPr>
        <w:adjustRightInd w:val="0"/>
        <w:snapToGrid w:val="0"/>
        <w:spacing w:line="288" w:lineRule="auto"/>
        <w:ind w:firstLine="1040"/>
        <w:rPr>
          <w:color w:val="0000FF"/>
          <w:sz w:val="36"/>
          <w:szCs w:val="36"/>
        </w:rPr>
      </w:pPr>
    </w:p>
    <w:p>
      <w:pPr>
        <w:pStyle w:val="5"/>
        <w:ind w:firstLine="420"/>
        <w:rPr>
          <w:color w:val="0000FF"/>
        </w:rPr>
      </w:pPr>
    </w:p>
    <w:p>
      <w:pPr>
        <w:pStyle w:val="5"/>
        <w:ind w:firstLine="420"/>
        <w:rPr>
          <w:color w:val="0000FF"/>
        </w:rPr>
      </w:pPr>
    </w:p>
    <w:p>
      <w:pPr>
        <w:pStyle w:val="5"/>
        <w:ind w:firstLine="420"/>
        <w:rPr>
          <w:color w:val="0000FF"/>
        </w:rPr>
      </w:pPr>
    </w:p>
    <w:p>
      <w:pPr>
        <w:pStyle w:val="5"/>
        <w:ind w:firstLine="420"/>
        <w:rPr>
          <w:color w:val="0000FF"/>
        </w:rPr>
      </w:pPr>
    </w:p>
    <w:p>
      <w:pPr>
        <w:pStyle w:val="5"/>
        <w:ind w:firstLine="420"/>
        <w:rPr>
          <w:color w:val="0000FF"/>
        </w:rPr>
      </w:pPr>
    </w:p>
    <w:p>
      <w:pPr>
        <w:pStyle w:val="5"/>
        <w:ind w:firstLine="420"/>
        <w:rPr>
          <w:color w:val="0000FF"/>
        </w:rPr>
      </w:pPr>
    </w:p>
    <w:p>
      <w:pPr>
        <w:pStyle w:val="5"/>
        <w:ind w:firstLine="420"/>
        <w:rPr>
          <w:color w:val="0000FF"/>
        </w:rPr>
      </w:pPr>
    </w:p>
    <w:p>
      <w:pPr>
        <w:pStyle w:val="5"/>
        <w:ind w:firstLine="420"/>
        <w:rPr>
          <w:color w:val="0000FF"/>
        </w:rPr>
      </w:pPr>
    </w:p>
    <w:p>
      <w:pPr>
        <w:pStyle w:val="5"/>
        <w:ind w:firstLine="420"/>
        <w:rPr>
          <w:color w:val="0000FF"/>
        </w:rPr>
      </w:pPr>
    </w:p>
    <w:p>
      <w:pPr>
        <w:pStyle w:val="5"/>
        <w:ind w:firstLine="420"/>
        <w:rPr>
          <w:color w:val="0000FF"/>
        </w:rPr>
      </w:pPr>
    </w:p>
    <w:p>
      <w:pPr>
        <w:pStyle w:val="5"/>
        <w:ind w:firstLine="420"/>
        <w:rPr>
          <w:color w:val="0000FF"/>
        </w:rPr>
      </w:pPr>
    </w:p>
    <w:bookmarkEnd w:id="0"/>
    <w:p>
      <w:pPr>
        <w:adjustRightInd w:val="0"/>
        <w:snapToGrid w:val="0"/>
        <w:spacing w:line="288" w:lineRule="auto"/>
        <w:jc w:val="center"/>
        <w:rPr>
          <w:rFonts w:ascii="楷体_GB2312" w:eastAsia="楷体_GB2312"/>
          <w:color w:val="0000FF"/>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r>
        <w:rPr>
          <w:sz w:val="36"/>
          <w:szCs w:val="36"/>
        </w:rPr>
        <w:t>中华人民共和国生态环境部制</w:t>
      </w:r>
    </w:p>
    <w:p>
      <w:pPr>
        <w:jc w:val="center"/>
        <w:rPr>
          <w:b/>
          <w:sz w:val="28"/>
          <w:szCs w:val="28"/>
        </w:rPr>
      </w:pPr>
      <w:r>
        <w:rPr>
          <w:b/>
          <w:sz w:val="28"/>
          <w:szCs w:val="28"/>
        </w:rPr>
        <w:t>目  录</w:t>
      </w:r>
    </w:p>
    <w:p>
      <w:pPr>
        <w:pStyle w:val="16"/>
        <w:tabs>
          <w:tab w:val="right" w:leader="dot" w:pos="8844"/>
          <w:tab w:val="clear" w:pos="9176"/>
        </w:tabs>
        <w:rPr>
          <w:rFonts w:ascii="Times New Roman" w:hAnsi="Times New Roman" w:eastAsia="宋体" w:cs="Times New Roman"/>
        </w:rPr>
      </w:pPr>
      <w:r>
        <w:rPr>
          <w:rFonts w:ascii="Times New Roman" w:hAnsi="Times New Roman" w:eastAsia="宋体" w:cs="Times New Roman"/>
          <w:b/>
          <w:color w:val="0000FF"/>
        </w:rPr>
        <w:fldChar w:fldCharType="begin"/>
      </w:r>
      <w:r>
        <w:rPr>
          <w:rFonts w:ascii="Times New Roman" w:hAnsi="Times New Roman" w:eastAsia="宋体" w:cs="Times New Roman"/>
          <w:b/>
          <w:color w:val="0000FF"/>
        </w:rPr>
        <w:instrText xml:space="preserve"> TOC \o "1-3" \h \z \u </w:instrText>
      </w:r>
      <w:r>
        <w:rPr>
          <w:rFonts w:ascii="Times New Roman" w:hAnsi="Times New Roman" w:eastAsia="宋体" w:cs="Times New Roman"/>
          <w:b/>
          <w:color w:val="0000FF"/>
        </w:rPr>
        <w:fldChar w:fldCharType="separate"/>
      </w:r>
      <w:r>
        <w:rPr>
          <w:rFonts w:ascii="Times New Roman" w:hAnsi="Times New Roman" w:eastAsia="宋体" w:cs="Times New Roman"/>
          <w:color w:val="0000FF"/>
        </w:rPr>
        <w:fldChar w:fldCharType="begin"/>
      </w:r>
      <w:r>
        <w:rPr>
          <w:rFonts w:ascii="Times New Roman" w:hAnsi="Times New Roman" w:eastAsia="宋体" w:cs="Times New Roman"/>
        </w:rPr>
        <w:instrText xml:space="preserve"> HYPERLINK \l _Toc32112 </w:instrText>
      </w:r>
      <w:r>
        <w:rPr>
          <w:rFonts w:ascii="Times New Roman" w:hAnsi="Times New Roman" w:eastAsia="宋体" w:cs="Times New Roman"/>
        </w:rPr>
        <w:fldChar w:fldCharType="separate"/>
      </w:r>
      <w:r>
        <w:rPr>
          <w:rFonts w:ascii="Times New Roman" w:hAnsi="Times New Roman" w:eastAsia="宋体" w:cs="Times New Roman"/>
          <w:snapToGrid w:val="0"/>
          <w:szCs w:val="30"/>
        </w:rPr>
        <w:t>一、建设项目基本情况</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_Toc32112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color w:val="0000FF"/>
        </w:rPr>
        <w:fldChar w:fldCharType="end"/>
      </w:r>
    </w:p>
    <w:p>
      <w:pPr>
        <w:pStyle w:val="16"/>
        <w:tabs>
          <w:tab w:val="right" w:leader="dot" w:pos="8844"/>
          <w:tab w:val="clear" w:pos="9176"/>
        </w:tabs>
        <w:rPr>
          <w:rFonts w:ascii="Times New Roman" w:hAnsi="Times New Roman" w:eastAsia="宋体" w:cs="Times New Roman"/>
        </w:rPr>
      </w:pPr>
      <w:r>
        <w:rPr>
          <w:rFonts w:ascii="Times New Roman" w:hAnsi="Times New Roman" w:eastAsia="宋体" w:cs="Times New Roman"/>
          <w:color w:val="0000FF"/>
        </w:rPr>
        <w:fldChar w:fldCharType="begin"/>
      </w:r>
      <w:r>
        <w:rPr>
          <w:rFonts w:ascii="Times New Roman" w:hAnsi="Times New Roman" w:eastAsia="宋体" w:cs="Times New Roman"/>
        </w:rPr>
        <w:instrText xml:space="preserve"> HYPERLINK \l _Toc19828 </w:instrText>
      </w:r>
      <w:r>
        <w:rPr>
          <w:rFonts w:ascii="Times New Roman" w:hAnsi="Times New Roman" w:eastAsia="宋体" w:cs="Times New Roman"/>
        </w:rPr>
        <w:fldChar w:fldCharType="separate"/>
      </w:r>
      <w:r>
        <w:rPr>
          <w:rFonts w:ascii="Times New Roman" w:hAnsi="Times New Roman" w:eastAsia="宋体" w:cs="Times New Roman"/>
          <w:snapToGrid w:val="0"/>
          <w:szCs w:val="30"/>
        </w:rPr>
        <w:t>二、建设项目工程分析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_Toc19828 \h </w:instrText>
      </w:r>
      <w:r>
        <w:rPr>
          <w:rFonts w:ascii="Times New Roman" w:hAnsi="Times New Roman" w:eastAsia="宋体" w:cs="Times New Roman"/>
        </w:rPr>
        <w:fldChar w:fldCharType="separate"/>
      </w:r>
      <w:r>
        <w:rPr>
          <w:rFonts w:ascii="Times New Roman" w:hAnsi="Times New Roman" w:eastAsia="宋体" w:cs="Times New Roman"/>
        </w:rPr>
        <w:t>14</w:t>
      </w:r>
      <w:r>
        <w:rPr>
          <w:rFonts w:ascii="Times New Roman" w:hAnsi="Times New Roman" w:eastAsia="宋体" w:cs="Times New Roman"/>
        </w:rPr>
        <w:fldChar w:fldCharType="end"/>
      </w:r>
      <w:r>
        <w:rPr>
          <w:rFonts w:ascii="Times New Roman" w:hAnsi="Times New Roman" w:eastAsia="宋体" w:cs="Times New Roman"/>
          <w:color w:val="0000FF"/>
        </w:rPr>
        <w:fldChar w:fldCharType="end"/>
      </w:r>
    </w:p>
    <w:p>
      <w:pPr>
        <w:pStyle w:val="16"/>
        <w:tabs>
          <w:tab w:val="right" w:leader="dot" w:pos="8844"/>
          <w:tab w:val="clear" w:pos="9176"/>
        </w:tabs>
        <w:rPr>
          <w:rFonts w:ascii="Times New Roman" w:hAnsi="Times New Roman" w:eastAsia="宋体" w:cs="Times New Roman"/>
        </w:rPr>
      </w:pPr>
      <w:r>
        <w:rPr>
          <w:rFonts w:ascii="Times New Roman" w:hAnsi="Times New Roman" w:eastAsia="宋体" w:cs="Times New Roman"/>
          <w:color w:val="0000FF"/>
        </w:rPr>
        <w:fldChar w:fldCharType="begin"/>
      </w:r>
      <w:r>
        <w:rPr>
          <w:rFonts w:ascii="Times New Roman" w:hAnsi="Times New Roman" w:eastAsia="宋体" w:cs="Times New Roman"/>
        </w:rPr>
        <w:instrText xml:space="preserve"> HYPERLINK \l _Toc10546 </w:instrText>
      </w:r>
      <w:r>
        <w:rPr>
          <w:rFonts w:ascii="Times New Roman" w:hAnsi="Times New Roman" w:eastAsia="宋体" w:cs="Times New Roman"/>
        </w:rPr>
        <w:fldChar w:fldCharType="separate"/>
      </w:r>
      <w:r>
        <w:rPr>
          <w:rFonts w:ascii="Times New Roman" w:hAnsi="Times New Roman" w:eastAsia="宋体" w:cs="Times New Roman"/>
          <w:snapToGrid w:val="0"/>
          <w:szCs w:val="30"/>
        </w:rPr>
        <w:t>三、区域环境质量现状、环境保护目标及评价标准</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_Toc10546 \h </w:instrText>
      </w:r>
      <w:r>
        <w:rPr>
          <w:rFonts w:ascii="Times New Roman" w:hAnsi="Times New Roman" w:eastAsia="宋体" w:cs="Times New Roman"/>
        </w:rPr>
        <w:fldChar w:fldCharType="separate"/>
      </w:r>
      <w:r>
        <w:rPr>
          <w:rFonts w:ascii="Times New Roman" w:hAnsi="Times New Roman" w:eastAsia="宋体" w:cs="Times New Roman"/>
        </w:rPr>
        <w:t>28</w:t>
      </w:r>
      <w:r>
        <w:rPr>
          <w:rFonts w:ascii="Times New Roman" w:hAnsi="Times New Roman" w:eastAsia="宋体" w:cs="Times New Roman"/>
        </w:rPr>
        <w:fldChar w:fldCharType="end"/>
      </w:r>
      <w:r>
        <w:rPr>
          <w:rFonts w:ascii="Times New Roman" w:hAnsi="Times New Roman" w:eastAsia="宋体" w:cs="Times New Roman"/>
          <w:color w:val="0000FF"/>
        </w:rPr>
        <w:fldChar w:fldCharType="end"/>
      </w:r>
    </w:p>
    <w:p>
      <w:pPr>
        <w:pStyle w:val="16"/>
        <w:tabs>
          <w:tab w:val="right" w:leader="dot" w:pos="8844"/>
          <w:tab w:val="clear" w:pos="9176"/>
        </w:tabs>
        <w:rPr>
          <w:rFonts w:ascii="Times New Roman" w:hAnsi="Times New Roman" w:eastAsia="宋体" w:cs="Times New Roman"/>
        </w:rPr>
      </w:pPr>
      <w:r>
        <w:rPr>
          <w:rFonts w:ascii="Times New Roman" w:hAnsi="Times New Roman" w:eastAsia="宋体" w:cs="Times New Roman"/>
          <w:color w:val="0000FF"/>
        </w:rPr>
        <w:fldChar w:fldCharType="begin"/>
      </w:r>
      <w:r>
        <w:rPr>
          <w:rFonts w:ascii="Times New Roman" w:hAnsi="Times New Roman" w:eastAsia="宋体" w:cs="Times New Roman"/>
        </w:rPr>
        <w:instrText xml:space="preserve"> HYPERLINK \l _Toc19850 </w:instrText>
      </w:r>
      <w:r>
        <w:rPr>
          <w:rFonts w:ascii="Times New Roman" w:hAnsi="Times New Roman" w:eastAsia="宋体" w:cs="Times New Roman"/>
        </w:rPr>
        <w:fldChar w:fldCharType="separate"/>
      </w:r>
      <w:r>
        <w:rPr>
          <w:rFonts w:ascii="Times New Roman" w:hAnsi="Times New Roman" w:eastAsia="宋体" w:cs="Times New Roman"/>
          <w:snapToGrid w:val="0"/>
          <w:szCs w:val="30"/>
        </w:rPr>
        <w:t>四、主要环境影响和保护措施</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_Toc19850 \h </w:instrText>
      </w:r>
      <w:r>
        <w:rPr>
          <w:rFonts w:ascii="Times New Roman" w:hAnsi="Times New Roman" w:eastAsia="宋体" w:cs="Times New Roman"/>
        </w:rPr>
        <w:fldChar w:fldCharType="separate"/>
      </w:r>
      <w:r>
        <w:rPr>
          <w:rFonts w:ascii="Times New Roman" w:hAnsi="Times New Roman" w:eastAsia="宋体" w:cs="Times New Roman"/>
        </w:rPr>
        <w:t>33</w:t>
      </w:r>
      <w:r>
        <w:rPr>
          <w:rFonts w:ascii="Times New Roman" w:hAnsi="Times New Roman" w:eastAsia="宋体" w:cs="Times New Roman"/>
        </w:rPr>
        <w:fldChar w:fldCharType="end"/>
      </w:r>
      <w:r>
        <w:rPr>
          <w:rFonts w:ascii="Times New Roman" w:hAnsi="Times New Roman" w:eastAsia="宋体" w:cs="Times New Roman"/>
          <w:color w:val="0000FF"/>
        </w:rPr>
        <w:fldChar w:fldCharType="end"/>
      </w:r>
    </w:p>
    <w:p>
      <w:pPr>
        <w:pStyle w:val="16"/>
        <w:tabs>
          <w:tab w:val="right" w:leader="dot" w:pos="8844"/>
          <w:tab w:val="clear" w:pos="9176"/>
        </w:tabs>
        <w:rPr>
          <w:rFonts w:ascii="Times New Roman" w:hAnsi="Times New Roman" w:eastAsia="宋体" w:cs="Times New Roman"/>
        </w:rPr>
      </w:pPr>
      <w:r>
        <w:rPr>
          <w:rFonts w:ascii="Times New Roman" w:hAnsi="Times New Roman" w:eastAsia="宋体" w:cs="Times New Roman"/>
          <w:color w:val="0000FF"/>
        </w:rPr>
        <w:fldChar w:fldCharType="begin"/>
      </w:r>
      <w:r>
        <w:rPr>
          <w:rFonts w:ascii="Times New Roman" w:hAnsi="Times New Roman" w:eastAsia="宋体" w:cs="Times New Roman"/>
        </w:rPr>
        <w:instrText xml:space="preserve"> HYPERLINK \l _Toc10490 </w:instrText>
      </w:r>
      <w:r>
        <w:rPr>
          <w:rFonts w:ascii="Times New Roman" w:hAnsi="Times New Roman" w:eastAsia="宋体" w:cs="Times New Roman"/>
        </w:rPr>
        <w:fldChar w:fldCharType="separate"/>
      </w:r>
      <w:r>
        <w:rPr>
          <w:rFonts w:ascii="Times New Roman" w:hAnsi="Times New Roman" w:eastAsia="宋体" w:cs="Times New Roman"/>
          <w:snapToGrid w:val="0"/>
          <w:szCs w:val="30"/>
        </w:rPr>
        <w:t>五、环境保护措施监督检查清单</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_Toc10490 \h </w:instrText>
      </w:r>
      <w:r>
        <w:rPr>
          <w:rFonts w:ascii="Times New Roman" w:hAnsi="Times New Roman" w:eastAsia="宋体" w:cs="Times New Roman"/>
        </w:rPr>
        <w:fldChar w:fldCharType="separate"/>
      </w:r>
      <w:r>
        <w:rPr>
          <w:rFonts w:ascii="Times New Roman" w:hAnsi="Times New Roman" w:eastAsia="宋体" w:cs="Times New Roman"/>
        </w:rPr>
        <w:t>53</w:t>
      </w:r>
      <w:r>
        <w:rPr>
          <w:rFonts w:ascii="Times New Roman" w:hAnsi="Times New Roman" w:eastAsia="宋体" w:cs="Times New Roman"/>
        </w:rPr>
        <w:fldChar w:fldCharType="end"/>
      </w:r>
      <w:r>
        <w:rPr>
          <w:rFonts w:ascii="Times New Roman" w:hAnsi="Times New Roman" w:eastAsia="宋体" w:cs="Times New Roman"/>
          <w:color w:val="0000FF"/>
        </w:rPr>
        <w:fldChar w:fldCharType="end"/>
      </w:r>
    </w:p>
    <w:p>
      <w:pPr>
        <w:pStyle w:val="16"/>
        <w:tabs>
          <w:tab w:val="right" w:leader="dot" w:pos="8844"/>
          <w:tab w:val="clear" w:pos="9176"/>
        </w:tabs>
        <w:rPr>
          <w:rFonts w:ascii="Times New Roman" w:hAnsi="Times New Roman" w:eastAsia="宋体" w:cs="Times New Roman"/>
        </w:rPr>
      </w:pPr>
      <w:r>
        <w:rPr>
          <w:rFonts w:ascii="Times New Roman" w:hAnsi="Times New Roman" w:eastAsia="宋体" w:cs="Times New Roman"/>
          <w:color w:val="0000FF"/>
        </w:rPr>
        <w:fldChar w:fldCharType="begin"/>
      </w:r>
      <w:r>
        <w:rPr>
          <w:rFonts w:ascii="Times New Roman" w:hAnsi="Times New Roman" w:eastAsia="宋体" w:cs="Times New Roman"/>
        </w:rPr>
        <w:instrText xml:space="preserve"> HYPERLINK \l _Toc12206 </w:instrText>
      </w:r>
      <w:r>
        <w:rPr>
          <w:rFonts w:ascii="Times New Roman" w:hAnsi="Times New Roman" w:eastAsia="宋体" w:cs="Times New Roman"/>
        </w:rPr>
        <w:fldChar w:fldCharType="separate"/>
      </w:r>
      <w:r>
        <w:rPr>
          <w:rFonts w:ascii="Times New Roman" w:hAnsi="Times New Roman" w:eastAsia="宋体" w:cs="Times New Roman"/>
          <w:snapToGrid w:val="0"/>
          <w:szCs w:val="30"/>
        </w:rPr>
        <w:t>六、结论</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_Toc12206 \h </w:instrText>
      </w:r>
      <w:r>
        <w:rPr>
          <w:rFonts w:ascii="Times New Roman" w:hAnsi="Times New Roman" w:eastAsia="宋体" w:cs="Times New Roman"/>
        </w:rPr>
        <w:fldChar w:fldCharType="separate"/>
      </w:r>
      <w:r>
        <w:rPr>
          <w:rFonts w:ascii="Times New Roman" w:hAnsi="Times New Roman" w:eastAsia="宋体" w:cs="Times New Roman"/>
        </w:rPr>
        <w:t>54</w:t>
      </w:r>
      <w:r>
        <w:rPr>
          <w:rFonts w:ascii="Times New Roman" w:hAnsi="Times New Roman" w:eastAsia="宋体" w:cs="Times New Roman"/>
        </w:rPr>
        <w:fldChar w:fldCharType="end"/>
      </w:r>
      <w:r>
        <w:rPr>
          <w:rFonts w:ascii="Times New Roman" w:hAnsi="Times New Roman" w:eastAsia="宋体" w:cs="Times New Roman"/>
          <w:color w:val="0000FF"/>
        </w:rPr>
        <w:fldChar w:fldCharType="end"/>
      </w:r>
    </w:p>
    <w:p>
      <w:pPr>
        <w:pStyle w:val="16"/>
        <w:tabs>
          <w:tab w:val="right" w:leader="dot" w:pos="8844"/>
          <w:tab w:val="clear" w:pos="9176"/>
        </w:tabs>
        <w:rPr>
          <w:rFonts w:ascii="Times New Roman" w:hAnsi="Times New Roman" w:eastAsia="宋体" w:cs="Times New Roman"/>
        </w:rPr>
      </w:pPr>
      <w:r>
        <w:rPr>
          <w:rFonts w:ascii="Times New Roman" w:hAnsi="Times New Roman" w:eastAsia="宋体" w:cs="Times New Roman"/>
          <w:color w:val="0000FF"/>
        </w:rPr>
        <w:fldChar w:fldCharType="begin"/>
      </w:r>
      <w:r>
        <w:rPr>
          <w:rFonts w:ascii="Times New Roman" w:hAnsi="Times New Roman" w:eastAsia="宋体" w:cs="Times New Roman"/>
        </w:rPr>
        <w:instrText xml:space="preserve"> HYPERLINK \l _Toc14652 </w:instrText>
      </w:r>
      <w:r>
        <w:rPr>
          <w:rFonts w:ascii="Times New Roman" w:hAnsi="Times New Roman" w:eastAsia="宋体" w:cs="Times New Roman"/>
        </w:rPr>
        <w:fldChar w:fldCharType="separate"/>
      </w:r>
      <w:r>
        <w:rPr>
          <w:rFonts w:ascii="Times New Roman" w:hAnsi="Times New Roman" w:eastAsia="宋体" w:cs="Times New Roman"/>
          <w:snapToGrid w:val="0"/>
          <w:szCs w:val="32"/>
        </w:rPr>
        <w:t>附表</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_Toc14652 \h </w:instrText>
      </w:r>
      <w:r>
        <w:rPr>
          <w:rFonts w:ascii="Times New Roman" w:hAnsi="Times New Roman" w:eastAsia="宋体" w:cs="Times New Roman"/>
        </w:rPr>
        <w:fldChar w:fldCharType="separate"/>
      </w:r>
      <w:r>
        <w:rPr>
          <w:rFonts w:ascii="Times New Roman" w:hAnsi="Times New Roman" w:eastAsia="宋体" w:cs="Times New Roman"/>
        </w:rPr>
        <w:t>55</w:t>
      </w:r>
      <w:r>
        <w:rPr>
          <w:rFonts w:ascii="Times New Roman" w:hAnsi="Times New Roman" w:eastAsia="宋体" w:cs="Times New Roman"/>
        </w:rPr>
        <w:fldChar w:fldCharType="end"/>
      </w:r>
      <w:r>
        <w:rPr>
          <w:rFonts w:ascii="Times New Roman" w:hAnsi="Times New Roman" w:eastAsia="宋体" w:cs="Times New Roman"/>
          <w:color w:val="0000FF"/>
        </w:rPr>
        <w:fldChar w:fldCharType="end"/>
      </w:r>
    </w:p>
    <w:p>
      <w:pPr>
        <w:adjustRightInd w:val="0"/>
        <w:snapToGrid w:val="0"/>
        <w:spacing w:line="360" w:lineRule="auto"/>
        <w:rPr>
          <w:color w:val="0000FF"/>
        </w:rPr>
      </w:pPr>
      <w:r>
        <w:rPr>
          <w:color w:val="0000FF"/>
        </w:rPr>
        <w:fldChar w:fldCharType="end"/>
      </w:r>
    </w:p>
    <w:p>
      <w:pPr>
        <w:adjustRightInd w:val="0"/>
        <w:snapToGrid w:val="0"/>
        <w:spacing w:line="360" w:lineRule="auto"/>
        <w:rPr>
          <w:b/>
          <w:bCs/>
          <w:sz w:val="28"/>
          <w:szCs w:val="28"/>
        </w:rPr>
      </w:pPr>
      <w:r>
        <w:rPr>
          <w:b/>
          <w:bCs/>
          <w:sz w:val="28"/>
          <w:szCs w:val="28"/>
        </w:rPr>
        <w:t>附件</w:t>
      </w:r>
    </w:p>
    <w:p>
      <w:pPr>
        <w:adjustRightInd w:val="0"/>
        <w:snapToGrid w:val="0"/>
        <w:spacing w:line="360" w:lineRule="auto"/>
        <w:rPr>
          <w:sz w:val="24"/>
        </w:rPr>
      </w:pPr>
      <w:r>
        <w:rPr>
          <w:sz w:val="24"/>
        </w:rPr>
        <w:t>附件1  开发区规划环评审查意见</w:t>
      </w:r>
    </w:p>
    <w:p>
      <w:pPr>
        <w:adjustRightInd w:val="0"/>
        <w:snapToGrid w:val="0"/>
        <w:spacing w:line="360" w:lineRule="auto"/>
        <w:rPr>
          <w:color w:val="auto"/>
          <w:sz w:val="24"/>
        </w:rPr>
      </w:pPr>
      <w:r>
        <w:rPr>
          <w:color w:val="auto"/>
          <w:sz w:val="24"/>
        </w:rPr>
        <w:t>附件2  备案通知书</w:t>
      </w:r>
    </w:p>
    <w:p>
      <w:pPr>
        <w:adjustRightInd w:val="0"/>
        <w:snapToGrid w:val="0"/>
        <w:spacing w:line="360" w:lineRule="auto"/>
        <w:rPr>
          <w:sz w:val="24"/>
        </w:rPr>
      </w:pPr>
      <w:r>
        <w:rPr>
          <w:sz w:val="24"/>
        </w:rPr>
        <w:t>附件3  营业执照</w:t>
      </w:r>
    </w:p>
    <w:p>
      <w:pPr>
        <w:adjustRightInd w:val="0"/>
        <w:snapToGrid w:val="0"/>
        <w:spacing w:line="360" w:lineRule="auto"/>
        <w:rPr>
          <w:sz w:val="24"/>
        </w:rPr>
      </w:pPr>
      <w:r>
        <w:rPr>
          <w:sz w:val="24"/>
        </w:rPr>
        <w:t>附件4  法人身份证</w:t>
      </w:r>
    </w:p>
    <w:p>
      <w:pPr>
        <w:adjustRightInd w:val="0"/>
        <w:snapToGrid w:val="0"/>
        <w:spacing w:line="360" w:lineRule="auto"/>
        <w:rPr>
          <w:rFonts w:hint="eastAsia"/>
          <w:sz w:val="24"/>
        </w:rPr>
      </w:pPr>
      <w:r>
        <w:rPr>
          <w:sz w:val="24"/>
        </w:rPr>
        <w:t xml:space="preserve">附件5  </w:t>
      </w:r>
      <w:r>
        <w:rPr>
          <w:rFonts w:hint="eastAsia"/>
          <w:sz w:val="24"/>
        </w:rPr>
        <w:t>租赁合同</w:t>
      </w:r>
      <w:bookmarkStart w:id="19" w:name="_GoBack"/>
      <w:bookmarkEnd w:id="19"/>
    </w:p>
    <w:p>
      <w:pPr>
        <w:adjustRightInd w:val="0"/>
        <w:snapToGrid w:val="0"/>
        <w:spacing w:line="360" w:lineRule="auto"/>
        <w:rPr>
          <w:rFonts w:hint="eastAsia"/>
          <w:sz w:val="24"/>
        </w:rPr>
      </w:pPr>
      <w:r>
        <w:rPr>
          <w:sz w:val="24"/>
        </w:rPr>
        <w:t xml:space="preserve">附件6  </w:t>
      </w:r>
      <w:r>
        <w:rPr>
          <w:rFonts w:hint="eastAsia"/>
          <w:sz w:val="24"/>
          <w:lang w:val="en-US" w:eastAsia="zh-CN"/>
        </w:rPr>
        <w:t>园区</w:t>
      </w:r>
      <w:r>
        <w:rPr>
          <w:rFonts w:hint="eastAsia"/>
          <w:sz w:val="24"/>
        </w:rPr>
        <w:t>不动产权证</w:t>
      </w:r>
    </w:p>
    <w:p>
      <w:pPr>
        <w:adjustRightInd w:val="0"/>
        <w:snapToGrid w:val="0"/>
        <w:spacing w:line="360" w:lineRule="auto"/>
        <w:rPr>
          <w:rFonts w:hint="eastAsia"/>
          <w:color w:val="auto"/>
          <w:sz w:val="24"/>
        </w:rPr>
      </w:pPr>
      <w:r>
        <w:rPr>
          <w:color w:val="auto"/>
          <w:sz w:val="24"/>
        </w:rPr>
        <w:t>附件7  环评技术合同</w:t>
      </w:r>
    </w:p>
    <w:p>
      <w:pPr>
        <w:adjustRightInd w:val="0"/>
        <w:snapToGrid w:val="0"/>
        <w:spacing w:line="360" w:lineRule="auto"/>
        <w:rPr>
          <w:color w:val="auto"/>
          <w:sz w:val="24"/>
          <w:highlight w:val="none"/>
        </w:rPr>
      </w:pPr>
      <w:r>
        <w:rPr>
          <w:color w:val="auto"/>
          <w:sz w:val="24"/>
          <w:highlight w:val="none"/>
        </w:rPr>
        <w:t>附件8  工程师看现场</w:t>
      </w:r>
    </w:p>
    <w:p>
      <w:pPr>
        <w:adjustRightInd w:val="0"/>
        <w:snapToGrid w:val="0"/>
        <w:spacing w:line="360" w:lineRule="auto"/>
        <w:rPr>
          <w:color w:val="auto"/>
          <w:sz w:val="24"/>
          <w:highlight w:val="none"/>
        </w:rPr>
      </w:pPr>
      <w:r>
        <w:rPr>
          <w:color w:val="auto"/>
          <w:sz w:val="24"/>
          <w:highlight w:val="none"/>
        </w:rPr>
        <w:t>附件</w:t>
      </w:r>
      <w:r>
        <w:rPr>
          <w:rFonts w:hint="eastAsia"/>
          <w:color w:val="auto"/>
          <w:sz w:val="24"/>
          <w:highlight w:val="none"/>
        </w:rPr>
        <w:t>9</w:t>
      </w:r>
      <w:r>
        <w:rPr>
          <w:color w:val="auto"/>
          <w:sz w:val="24"/>
          <w:highlight w:val="none"/>
        </w:rPr>
        <w:t xml:space="preserve"> </w:t>
      </w:r>
      <w:r>
        <w:rPr>
          <w:rFonts w:hint="eastAsia"/>
          <w:color w:val="auto"/>
          <w:sz w:val="24"/>
          <w:highlight w:val="none"/>
        </w:rPr>
        <w:t xml:space="preserve"> </w:t>
      </w:r>
      <w:r>
        <w:rPr>
          <w:color w:val="auto"/>
          <w:sz w:val="24"/>
          <w:highlight w:val="none"/>
        </w:rPr>
        <w:t>监测报告</w:t>
      </w:r>
    </w:p>
    <w:p>
      <w:pPr>
        <w:adjustRightInd w:val="0"/>
        <w:snapToGrid w:val="0"/>
        <w:spacing w:line="360" w:lineRule="auto"/>
        <w:rPr>
          <w:color w:val="auto"/>
          <w:sz w:val="24"/>
          <w:highlight w:val="none"/>
        </w:rPr>
      </w:pPr>
      <w:r>
        <w:rPr>
          <w:color w:val="auto"/>
          <w:sz w:val="24"/>
          <w:highlight w:val="none"/>
        </w:rPr>
        <w:t>附件1</w:t>
      </w:r>
      <w:r>
        <w:rPr>
          <w:rFonts w:hint="eastAsia"/>
          <w:color w:val="auto"/>
          <w:sz w:val="24"/>
          <w:highlight w:val="none"/>
        </w:rPr>
        <w:t>0</w:t>
      </w:r>
      <w:r>
        <w:rPr>
          <w:color w:val="auto"/>
          <w:sz w:val="24"/>
          <w:highlight w:val="none"/>
        </w:rPr>
        <w:t xml:space="preserve"> 监测报告公示</w:t>
      </w:r>
    </w:p>
    <w:p>
      <w:pPr>
        <w:adjustRightInd w:val="0"/>
        <w:snapToGrid w:val="0"/>
        <w:spacing w:line="360" w:lineRule="auto"/>
        <w:rPr>
          <w:color w:val="auto"/>
          <w:sz w:val="24"/>
          <w:highlight w:val="none"/>
        </w:rPr>
      </w:pPr>
      <w:r>
        <w:rPr>
          <w:color w:val="auto"/>
          <w:sz w:val="24"/>
          <w:highlight w:val="none"/>
        </w:rPr>
        <w:t>附件1</w:t>
      </w:r>
      <w:r>
        <w:rPr>
          <w:rFonts w:hint="eastAsia"/>
          <w:color w:val="auto"/>
          <w:sz w:val="24"/>
          <w:highlight w:val="none"/>
        </w:rPr>
        <w:t>1</w:t>
      </w:r>
      <w:r>
        <w:rPr>
          <w:color w:val="auto"/>
          <w:sz w:val="24"/>
          <w:highlight w:val="none"/>
        </w:rPr>
        <w:t xml:space="preserve"> 环评报告公示</w:t>
      </w:r>
    </w:p>
    <w:p>
      <w:pPr>
        <w:adjustRightInd w:val="0"/>
        <w:snapToGrid w:val="0"/>
        <w:spacing w:line="360" w:lineRule="auto"/>
        <w:rPr>
          <w:rFonts w:hint="eastAsia"/>
          <w:sz w:val="24"/>
        </w:rPr>
      </w:pPr>
      <w:r>
        <w:rPr>
          <w:rFonts w:hint="eastAsia"/>
          <w:sz w:val="24"/>
        </w:rPr>
        <w:t>附件12 固定资产投资项目节能承诺表</w:t>
      </w:r>
    </w:p>
    <w:p>
      <w:pPr>
        <w:adjustRightInd w:val="0"/>
        <w:snapToGrid w:val="0"/>
        <w:spacing w:line="360" w:lineRule="auto"/>
        <w:rPr>
          <w:rFonts w:hint="eastAsia"/>
          <w:sz w:val="24"/>
          <w:highlight w:val="none"/>
        </w:rPr>
      </w:pPr>
      <w:r>
        <w:rPr>
          <w:sz w:val="24"/>
          <w:highlight w:val="none"/>
        </w:rPr>
        <w:t>附件1</w:t>
      </w:r>
      <w:r>
        <w:rPr>
          <w:rFonts w:hint="eastAsia"/>
          <w:sz w:val="24"/>
          <w:highlight w:val="none"/>
        </w:rPr>
        <w:t>3</w:t>
      </w:r>
      <w:r>
        <w:rPr>
          <w:sz w:val="24"/>
          <w:highlight w:val="none"/>
        </w:rPr>
        <w:t xml:space="preserve"> 委托书</w:t>
      </w:r>
    </w:p>
    <w:p>
      <w:pPr>
        <w:adjustRightInd w:val="0"/>
        <w:snapToGrid w:val="0"/>
        <w:spacing w:line="360" w:lineRule="auto"/>
        <w:rPr>
          <w:sz w:val="24"/>
          <w:highlight w:val="none"/>
        </w:rPr>
      </w:pPr>
      <w:r>
        <w:rPr>
          <w:sz w:val="24"/>
          <w:highlight w:val="none"/>
        </w:rPr>
        <w:t>附件1</w:t>
      </w:r>
      <w:r>
        <w:rPr>
          <w:rFonts w:hint="eastAsia"/>
          <w:sz w:val="24"/>
          <w:highlight w:val="none"/>
        </w:rPr>
        <w:t>4</w:t>
      </w:r>
      <w:r>
        <w:rPr>
          <w:sz w:val="24"/>
          <w:highlight w:val="none"/>
        </w:rPr>
        <w:t xml:space="preserve"> 建设单位承诺函</w:t>
      </w:r>
    </w:p>
    <w:p>
      <w:pPr>
        <w:adjustRightInd w:val="0"/>
        <w:snapToGrid w:val="0"/>
        <w:spacing w:line="360" w:lineRule="auto"/>
        <w:rPr>
          <w:sz w:val="24"/>
          <w:highlight w:val="none"/>
        </w:rPr>
      </w:pPr>
      <w:r>
        <w:rPr>
          <w:sz w:val="24"/>
          <w:highlight w:val="none"/>
        </w:rPr>
        <w:t>附件1</w:t>
      </w:r>
      <w:r>
        <w:rPr>
          <w:rFonts w:hint="eastAsia"/>
          <w:sz w:val="24"/>
          <w:highlight w:val="none"/>
        </w:rPr>
        <w:t>5</w:t>
      </w:r>
      <w:r>
        <w:rPr>
          <w:sz w:val="24"/>
          <w:highlight w:val="none"/>
        </w:rPr>
        <w:t xml:space="preserve"> 建设单位环评单位承诺函</w:t>
      </w:r>
    </w:p>
    <w:p>
      <w:pPr>
        <w:adjustRightInd w:val="0"/>
        <w:snapToGrid w:val="0"/>
        <w:spacing w:line="360" w:lineRule="auto"/>
        <w:rPr>
          <w:rFonts w:hint="eastAsia"/>
          <w:sz w:val="24"/>
          <w:highlight w:val="none"/>
        </w:rPr>
      </w:pPr>
      <w:r>
        <w:rPr>
          <w:sz w:val="24"/>
          <w:highlight w:val="none"/>
        </w:rPr>
        <w:t>附件1</w:t>
      </w:r>
      <w:r>
        <w:rPr>
          <w:rFonts w:hint="eastAsia"/>
          <w:sz w:val="24"/>
          <w:highlight w:val="none"/>
        </w:rPr>
        <w:t>6</w:t>
      </w:r>
      <w:r>
        <w:rPr>
          <w:sz w:val="24"/>
          <w:highlight w:val="none"/>
        </w:rPr>
        <w:t xml:space="preserve"> 声明确认</w:t>
      </w:r>
      <w:r>
        <w:rPr>
          <w:rFonts w:hint="eastAsia"/>
          <w:sz w:val="24"/>
          <w:highlight w:val="none"/>
        </w:rPr>
        <w:t>单</w:t>
      </w:r>
    </w:p>
    <w:p>
      <w:pPr>
        <w:adjustRightInd w:val="0"/>
        <w:snapToGrid w:val="0"/>
        <w:spacing w:line="360" w:lineRule="auto"/>
        <w:rPr>
          <w:rFonts w:hint="eastAsia"/>
          <w:color w:val="0000FF"/>
          <w:sz w:val="24"/>
          <w:highlight w:val="none"/>
        </w:rPr>
      </w:pPr>
      <w:r>
        <w:rPr>
          <w:sz w:val="24"/>
          <w:highlight w:val="none"/>
        </w:rPr>
        <w:t>附件</w:t>
      </w:r>
      <w:r>
        <w:rPr>
          <w:rFonts w:hint="eastAsia"/>
          <w:sz w:val="24"/>
          <w:highlight w:val="none"/>
        </w:rPr>
        <w:t>17</w:t>
      </w:r>
      <w:r>
        <w:rPr>
          <w:sz w:val="24"/>
          <w:highlight w:val="none"/>
        </w:rPr>
        <w:t xml:space="preserve"> </w:t>
      </w:r>
      <w:r>
        <w:rPr>
          <w:rFonts w:hint="eastAsia"/>
          <w:sz w:val="24"/>
          <w:highlight w:val="none"/>
        </w:rPr>
        <w:t>危废承诺书</w:t>
      </w:r>
    </w:p>
    <w:p>
      <w:pPr>
        <w:adjustRightInd w:val="0"/>
        <w:snapToGrid w:val="0"/>
        <w:spacing w:line="360" w:lineRule="auto"/>
        <w:rPr>
          <w:b/>
          <w:bCs/>
          <w:color w:val="0000FF"/>
          <w:sz w:val="24"/>
        </w:rPr>
      </w:pPr>
    </w:p>
    <w:p>
      <w:pPr>
        <w:adjustRightInd w:val="0"/>
        <w:snapToGrid w:val="0"/>
        <w:spacing w:line="360" w:lineRule="auto"/>
        <w:rPr>
          <w:b/>
          <w:bCs/>
          <w:color w:val="0000FF"/>
          <w:sz w:val="24"/>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adjustRightInd w:val="0"/>
        <w:snapToGrid w:val="0"/>
        <w:spacing w:line="360" w:lineRule="auto"/>
        <w:rPr>
          <w:b/>
          <w:bCs/>
          <w:sz w:val="28"/>
          <w:szCs w:val="28"/>
        </w:rPr>
      </w:pPr>
      <w:r>
        <w:rPr>
          <w:b/>
          <w:bCs/>
          <w:sz w:val="28"/>
          <w:szCs w:val="28"/>
        </w:rPr>
        <w:t>附图</w:t>
      </w:r>
    </w:p>
    <w:p>
      <w:pPr>
        <w:adjustRightInd w:val="0"/>
        <w:snapToGrid w:val="0"/>
        <w:spacing w:line="360" w:lineRule="auto"/>
        <w:rPr>
          <w:sz w:val="24"/>
        </w:rPr>
      </w:pPr>
      <w:r>
        <w:rPr>
          <w:sz w:val="24"/>
        </w:rPr>
        <w:t>附图1  项目地理位置图</w:t>
      </w:r>
    </w:p>
    <w:p>
      <w:pPr>
        <w:adjustRightInd w:val="0"/>
        <w:snapToGrid w:val="0"/>
        <w:spacing w:line="360" w:lineRule="auto"/>
        <w:rPr>
          <w:sz w:val="24"/>
        </w:rPr>
      </w:pPr>
      <w:r>
        <w:rPr>
          <w:sz w:val="24"/>
        </w:rPr>
        <w:t>附图2  项目周</w:t>
      </w:r>
      <w:r>
        <w:rPr>
          <w:rFonts w:hint="eastAsia"/>
          <w:sz w:val="24"/>
        </w:rPr>
        <w:t>边</w:t>
      </w:r>
      <w:r>
        <w:rPr>
          <w:sz w:val="24"/>
        </w:rPr>
        <w:t>环境概况图</w:t>
      </w:r>
    </w:p>
    <w:p>
      <w:pPr>
        <w:adjustRightInd w:val="0"/>
        <w:snapToGrid w:val="0"/>
        <w:spacing w:line="360" w:lineRule="auto"/>
        <w:rPr>
          <w:sz w:val="24"/>
        </w:rPr>
      </w:pPr>
      <w:r>
        <w:rPr>
          <w:rFonts w:hint="eastAsia"/>
          <w:sz w:val="24"/>
        </w:rPr>
        <w:t>附图3  租赁厂区平面布置图</w:t>
      </w:r>
    </w:p>
    <w:p>
      <w:pPr>
        <w:adjustRightInd w:val="0"/>
        <w:snapToGrid w:val="0"/>
        <w:spacing w:line="360" w:lineRule="auto"/>
        <w:rPr>
          <w:sz w:val="24"/>
        </w:rPr>
      </w:pPr>
      <w:r>
        <w:rPr>
          <w:sz w:val="24"/>
        </w:rPr>
        <w:t>附图</w:t>
      </w:r>
      <w:r>
        <w:rPr>
          <w:rFonts w:hint="eastAsia"/>
          <w:sz w:val="24"/>
        </w:rPr>
        <w:t>4</w:t>
      </w:r>
      <w:r>
        <w:rPr>
          <w:sz w:val="24"/>
        </w:rPr>
        <w:t xml:space="preserve">  </w:t>
      </w:r>
      <w:r>
        <w:rPr>
          <w:rFonts w:hint="eastAsia"/>
          <w:sz w:val="24"/>
          <w:lang w:val="en-US" w:eastAsia="zh-CN"/>
        </w:rPr>
        <w:t>国际工业城园区</w:t>
      </w:r>
      <w:r>
        <w:rPr>
          <w:sz w:val="24"/>
        </w:rPr>
        <w:t>平面布置图</w:t>
      </w:r>
    </w:p>
    <w:p>
      <w:pPr>
        <w:adjustRightInd w:val="0"/>
        <w:snapToGrid w:val="0"/>
        <w:spacing w:line="360" w:lineRule="auto"/>
        <w:rPr>
          <w:sz w:val="24"/>
        </w:rPr>
      </w:pPr>
      <w:r>
        <w:rPr>
          <w:sz w:val="24"/>
        </w:rPr>
        <w:t>附图</w:t>
      </w:r>
      <w:r>
        <w:rPr>
          <w:rFonts w:hint="eastAsia"/>
          <w:sz w:val="24"/>
        </w:rPr>
        <w:t>5</w:t>
      </w:r>
      <w:r>
        <w:rPr>
          <w:sz w:val="24"/>
        </w:rPr>
        <w:t xml:space="preserve">  金坛经济开发区土地利用规划图</w:t>
      </w:r>
    </w:p>
    <w:p>
      <w:pPr>
        <w:adjustRightInd w:val="0"/>
        <w:snapToGrid w:val="0"/>
        <w:spacing w:line="360" w:lineRule="auto"/>
        <w:rPr>
          <w:sz w:val="24"/>
        </w:rPr>
      </w:pPr>
      <w:r>
        <w:rPr>
          <w:sz w:val="24"/>
        </w:rPr>
        <w:t>附图</w:t>
      </w:r>
      <w:r>
        <w:rPr>
          <w:rFonts w:hint="eastAsia"/>
          <w:sz w:val="24"/>
        </w:rPr>
        <w:t>6  项目所在地环境分区管控图</w:t>
      </w:r>
    </w:p>
    <w:p>
      <w:pPr>
        <w:adjustRightInd w:val="0"/>
        <w:snapToGrid w:val="0"/>
        <w:spacing w:line="360" w:lineRule="auto"/>
        <w:rPr>
          <w:sz w:val="24"/>
        </w:rPr>
      </w:pPr>
      <w:r>
        <w:rPr>
          <w:sz w:val="24"/>
        </w:rPr>
        <w:t>附图</w:t>
      </w:r>
      <w:r>
        <w:rPr>
          <w:rFonts w:hint="eastAsia"/>
          <w:sz w:val="24"/>
        </w:rPr>
        <w:t>7</w:t>
      </w:r>
      <w:r>
        <w:rPr>
          <w:sz w:val="24"/>
        </w:rPr>
        <w:t xml:space="preserve">  生态红线图</w:t>
      </w:r>
    </w:p>
    <w:p>
      <w:pPr>
        <w:adjustRightInd w:val="0"/>
        <w:snapToGrid w:val="0"/>
        <w:spacing w:line="360" w:lineRule="auto"/>
        <w:rPr>
          <w:sz w:val="24"/>
        </w:rPr>
      </w:pPr>
      <w:r>
        <w:rPr>
          <w:sz w:val="24"/>
        </w:rPr>
        <w:t>附图</w:t>
      </w:r>
      <w:r>
        <w:rPr>
          <w:rFonts w:hint="eastAsia"/>
          <w:sz w:val="24"/>
        </w:rPr>
        <w:t>8</w:t>
      </w:r>
      <w:r>
        <w:rPr>
          <w:sz w:val="24"/>
        </w:rPr>
        <w:t xml:space="preserve">  金坛区声功能区划图</w:t>
      </w:r>
    </w:p>
    <w:p>
      <w:pPr>
        <w:adjustRightInd w:val="0"/>
        <w:snapToGrid w:val="0"/>
        <w:spacing w:line="360" w:lineRule="auto"/>
        <w:rPr>
          <w:sz w:val="24"/>
        </w:rPr>
      </w:pPr>
      <w:r>
        <w:rPr>
          <w:sz w:val="24"/>
        </w:rPr>
        <w:t>附图</w:t>
      </w:r>
      <w:r>
        <w:rPr>
          <w:rFonts w:hint="eastAsia"/>
          <w:sz w:val="24"/>
        </w:rPr>
        <w:t>9</w:t>
      </w:r>
      <w:r>
        <w:rPr>
          <w:sz w:val="24"/>
        </w:rPr>
        <w:t xml:space="preserve">  金坛经济开发区污水管网图</w:t>
      </w:r>
    </w:p>
    <w:p>
      <w:pPr>
        <w:adjustRightInd w:val="0"/>
        <w:snapToGrid w:val="0"/>
        <w:spacing w:line="360" w:lineRule="auto"/>
        <w:rPr>
          <w:sz w:val="24"/>
        </w:rPr>
      </w:pPr>
      <w:r>
        <w:rPr>
          <w:sz w:val="24"/>
        </w:rPr>
        <w:t>附图</w:t>
      </w:r>
      <w:r>
        <w:rPr>
          <w:rFonts w:hint="eastAsia"/>
          <w:sz w:val="24"/>
        </w:rPr>
        <w:t>10</w:t>
      </w:r>
      <w:r>
        <w:rPr>
          <w:sz w:val="24"/>
        </w:rPr>
        <w:t xml:space="preserve">  </w:t>
      </w:r>
      <w:r>
        <w:rPr>
          <w:rFonts w:hint="eastAsia"/>
          <w:sz w:val="24"/>
        </w:rPr>
        <w:t>区域水系图</w:t>
      </w:r>
    </w:p>
    <w:p>
      <w:pPr>
        <w:pStyle w:val="5"/>
        <w:ind w:firstLine="480"/>
        <w:rPr>
          <w:rFonts w:eastAsia="等线"/>
          <w:color w:val="0000FF"/>
          <w:sz w:val="24"/>
        </w:rPr>
      </w:pPr>
    </w:p>
    <w:p>
      <w:pPr>
        <w:pStyle w:val="5"/>
        <w:ind w:firstLine="480"/>
        <w:rPr>
          <w:rFonts w:eastAsia="等线"/>
          <w:color w:val="0000FF"/>
          <w:sz w:val="24"/>
        </w:rPr>
      </w:pPr>
    </w:p>
    <w:p>
      <w:pPr>
        <w:pStyle w:val="13"/>
        <w:rPr>
          <w:color w:val="0000FF"/>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0"/>
        <w:jc w:val="center"/>
        <w:outlineLvl w:val="0"/>
        <w:rPr>
          <w:rFonts w:cs="宋体"/>
          <w:b/>
          <w:bCs/>
          <w:snapToGrid w:val="0"/>
          <w:sz w:val="30"/>
          <w:szCs w:val="30"/>
        </w:rPr>
      </w:pPr>
      <w:bookmarkStart w:id="1" w:name="_Toc32112"/>
      <w:r>
        <w:rPr>
          <w:rFonts w:hint="eastAsia" w:cs="宋体"/>
          <w:b/>
          <w:bCs/>
          <w:snapToGrid w:val="0"/>
          <w:sz w:val="30"/>
          <w:szCs w:val="30"/>
        </w:rPr>
        <w:t>一、建设项目基本情况</w:t>
      </w:r>
      <w:bookmarkEnd w:id="1"/>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89"/>
        <w:gridCol w:w="1953"/>
        <w:gridCol w:w="13"/>
        <w:gridCol w:w="1949"/>
        <w:gridCol w:w="38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9" w:type="dxa"/>
            <w:noWrap w:val="0"/>
            <w:tcMar>
              <w:top w:w="16" w:type="dxa"/>
              <w:left w:w="16" w:type="dxa"/>
              <w:right w:w="16" w:type="dxa"/>
            </w:tcMar>
            <w:vAlign w:val="center"/>
          </w:tcPr>
          <w:p>
            <w:pPr>
              <w:adjustRightInd w:val="0"/>
              <w:snapToGrid w:val="0"/>
              <w:jc w:val="center"/>
              <w:rPr>
                <w:sz w:val="24"/>
              </w:rPr>
            </w:pPr>
            <w:r>
              <w:rPr>
                <w:sz w:val="24"/>
              </w:rPr>
              <w:t>建设项目名称</w:t>
            </w:r>
          </w:p>
        </w:tc>
        <w:tc>
          <w:tcPr>
            <w:tcW w:w="7781" w:type="dxa"/>
            <w:gridSpan w:val="4"/>
            <w:noWrap w:val="0"/>
            <w:vAlign w:val="center"/>
          </w:tcPr>
          <w:p>
            <w:pPr>
              <w:adjustRightInd w:val="0"/>
              <w:snapToGrid w:val="0"/>
              <w:jc w:val="center"/>
              <w:rPr>
                <w:rFonts w:hint="default"/>
                <w:sz w:val="24"/>
                <w:lang w:val="en-US"/>
              </w:rPr>
            </w:pPr>
            <w:r>
              <w:rPr>
                <w:rFonts w:hint="eastAsia"/>
                <w:sz w:val="24"/>
                <w:lang w:eastAsia="zh-CN"/>
              </w:rPr>
              <w:t>内镜微创医疗器械研发及生产项目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9" w:type="dxa"/>
            <w:noWrap w:val="0"/>
            <w:tcMar>
              <w:top w:w="16" w:type="dxa"/>
              <w:left w:w="16" w:type="dxa"/>
              <w:right w:w="16" w:type="dxa"/>
            </w:tcMar>
            <w:vAlign w:val="center"/>
          </w:tcPr>
          <w:p>
            <w:pPr>
              <w:adjustRightInd w:val="0"/>
              <w:snapToGrid w:val="0"/>
              <w:jc w:val="center"/>
              <w:rPr>
                <w:color w:val="000000"/>
                <w:sz w:val="24"/>
              </w:rPr>
            </w:pPr>
            <w:r>
              <w:rPr>
                <w:color w:val="000000"/>
                <w:sz w:val="24"/>
              </w:rPr>
              <w:t>项目代码</w:t>
            </w:r>
          </w:p>
        </w:tc>
        <w:tc>
          <w:tcPr>
            <w:tcW w:w="7781" w:type="dxa"/>
            <w:gridSpan w:val="4"/>
            <w:noWrap w:val="0"/>
            <w:vAlign w:val="center"/>
          </w:tcPr>
          <w:p>
            <w:pPr>
              <w:adjustRightInd w:val="0"/>
              <w:snapToGrid w:val="0"/>
              <w:jc w:val="center"/>
              <w:rPr>
                <w:rFonts w:hint="default" w:eastAsia="宋体"/>
                <w:color w:val="000000"/>
                <w:sz w:val="24"/>
                <w:lang w:val="en-US" w:eastAsia="zh-CN"/>
              </w:rPr>
            </w:pPr>
            <w:r>
              <w:rPr>
                <w:rFonts w:hint="eastAsia" w:ascii="Times New Roman" w:hAnsi="Times New Roman" w:eastAsia="宋体" w:cs="Times New Roman"/>
                <w:sz w:val="24"/>
                <w:lang w:val="en-US" w:eastAsia="zh-CN"/>
              </w:rPr>
              <w:t>2112-320458-89-03-973063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9" w:type="dxa"/>
            <w:noWrap w:val="0"/>
            <w:tcMar>
              <w:top w:w="16" w:type="dxa"/>
              <w:left w:w="16" w:type="dxa"/>
              <w:right w:w="16" w:type="dxa"/>
            </w:tcMar>
            <w:vAlign w:val="center"/>
          </w:tcPr>
          <w:p>
            <w:pPr>
              <w:adjustRightInd w:val="0"/>
              <w:snapToGrid w:val="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建设单位联系人</w:t>
            </w:r>
          </w:p>
        </w:tc>
        <w:tc>
          <w:tcPr>
            <w:tcW w:w="1953" w:type="dxa"/>
            <w:noWrap w:val="0"/>
            <w:vAlign w:val="center"/>
          </w:tcPr>
          <w:p>
            <w:pPr>
              <w:adjustRightInd w:val="0"/>
              <w:snapToGrid w:val="0"/>
              <w:jc w:val="center"/>
              <w:rPr>
                <w:rFonts w:hint="eastAsia" w:ascii="Times New Roman" w:hAnsi="Times New Roman" w:eastAsia="宋体" w:cs="Times New Roman"/>
                <w:sz w:val="24"/>
                <w:lang w:val="en-US" w:eastAsia="zh-CN"/>
              </w:rPr>
            </w:pPr>
            <w:r>
              <w:rPr>
                <w:rFonts w:hint="eastAsia" w:ascii="宋体" w:hAnsi="宋体" w:eastAsia="宋体" w:cs="宋体"/>
                <w:sz w:val="24"/>
                <w:lang w:val="en-US" w:eastAsia="zh-CN"/>
              </w:rPr>
              <w:t>＊</w:t>
            </w:r>
            <w:r>
              <w:rPr>
                <w:rFonts w:hint="eastAsia" w:ascii="Times New Roman" w:hAnsi="Times New Roman" w:eastAsia="宋体" w:cs="Times New Roman"/>
                <w:sz w:val="24"/>
                <w:lang w:val="en-US" w:eastAsia="zh-CN"/>
              </w:rPr>
              <w:t>＊＊</w:t>
            </w:r>
          </w:p>
        </w:tc>
        <w:tc>
          <w:tcPr>
            <w:tcW w:w="1962" w:type="dxa"/>
            <w:gridSpan w:val="2"/>
            <w:noWrap w:val="0"/>
            <w:vAlign w:val="center"/>
          </w:tcPr>
          <w:p>
            <w:pPr>
              <w:adjustRightInd w:val="0"/>
              <w:snapToGrid w:val="0"/>
              <w:jc w:val="center"/>
              <w:rPr>
                <w:sz w:val="24"/>
              </w:rPr>
            </w:pPr>
            <w:r>
              <w:rPr>
                <w:sz w:val="24"/>
              </w:rPr>
              <w:t>联系方式</w:t>
            </w:r>
          </w:p>
        </w:tc>
        <w:tc>
          <w:tcPr>
            <w:tcW w:w="3866" w:type="dxa"/>
            <w:noWrap w:val="0"/>
            <w:vAlign w:val="center"/>
          </w:tcPr>
          <w:p>
            <w:pPr>
              <w:adjustRightInd w:val="0"/>
              <w:snapToGrid w:val="0"/>
              <w:jc w:val="center"/>
              <w:rPr>
                <w:rFonts w:hint="eastAsia" w:eastAsia="宋体"/>
                <w:sz w:val="24"/>
                <w:lang w:eastAsia="zh-CN"/>
              </w:rPr>
            </w:pPr>
            <w:r>
              <w:rPr>
                <w:rFonts w:hint="eastAsia"/>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9" w:type="dxa"/>
            <w:noWrap w:val="0"/>
            <w:tcMar>
              <w:top w:w="16" w:type="dxa"/>
              <w:left w:w="16" w:type="dxa"/>
              <w:right w:w="16" w:type="dxa"/>
            </w:tcMar>
            <w:vAlign w:val="center"/>
          </w:tcPr>
          <w:p>
            <w:pPr>
              <w:adjustRightInd w:val="0"/>
              <w:snapToGrid w:val="0"/>
              <w:jc w:val="center"/>
              <w:rPr>
                <w:sz w:val="24"/>
              </w:rPr>
            </w:pPr>
            <w:r>
              <w:rPr>
                <w:sz w:val="24"/>
              </w:rPr>
              <w:t>建设地点</w:t>
            </w:r>
          </w:p>
        </w:tc>
        <w:tc>
          <w:tcPr>
            <w:tcW w:w="7781" w:type="dxa"/>
            <w:gridSpan w:val="4"/>
            <w:noWrap w:val="0"/>
            <w:vAlign w:val="center"/>
          </w:tcPr>
          <w:p>
            <w:pPr>
              <w:adjustRightInd w:val="0"/>
              <w:snapToGrid w:val="0"/>
              <w:jc w:val="center"/>
              <w:rPr>
                <w:sz w:val="24"/>
              </w:rPr>
            </w:pPr>
            <w:r>
              <w:rPr>
                <w:rFonts w:hint="eastAsia"/>
                <w:sz w:val="24"/>
              </w:rPr>
              <w:t>金坛经济开发区华城路1668号国际工业城5号楼北楼四层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9" w:type="dxa"/>
            <w:noWrap w:val="0"/>
            <w:tcMar>
              <w:top w:w="16" w:type="dxa"/>
              <w:left w:w="16" w:type="dxa"/>
              <w:right w:w="16" w:type="dxa"/>
            </w:tcMar>
            <w:vAlign w:val="center"/>
          </w:tcPr>
          <w:p>
            <w:pPr>
              <w:adjustRightInd w:val="0"/>
              <w:snapToGrid w:val="0"/>
              <w:jc w:val="center"/>
              <w:rPr>
                <w:sz w:val="24"/>
              </w:rPr>
            </w:pPr>
            <w:r>
              <w:rPr>
                <w:sz w:val="24"/>
              </w:rPr>
              <w:t>地理坐标</w:t>
            </w:r>
          </w:p>
        </w:tc>
        <w:tc>
          <w:tcPr>
            <w:tcW w:w="7781" w:type="dxa"/>
            <w:gridSpan w:val="4"/>
            <w:noWrap w:val="0"/>
            <w:vAlign w:val="center"/>
          </w:tcPr>
          <w:p>
            <w:pPr>
              <w:jc w:val="center"/>
              <w:rPr>
                <w:sz w:val="24"/>
              </w:rPr>
            </w:pPr>
            <w:r>
              <w:rPr>
                <w:sz w:val="24"/>
              </w:rPr>
              <w:t>（</w:t>
            </w:r>
            <w:r>
              <w:rPr>
                <w:rFonts w:hint="eastAsia"/>
                <w:sz w:val="24"/>
                <w:u w:val="single"/>
              </w:rPr>
              <w:t>119</w:t>
            </w:r>
            <w:r>
              <w:rPr>
                <w:sz w:val="24"/>
              </w:rPr>
              <w:t>度</w:t>
            </w:r>
            <w:r>
              <w:rPr>
                <w:rFonts w:hint="eastAsia"/>
                <w:sz w:val="24"/>
                <w:u w:val="single"/>
              </w:rPr>
              <w:t>38</w:t>
            </w:r>
            <w:r>
              <w:rPr>
                <w:sz w:val="24"/>
              </w:rPr>
              <w:t>分</w:t>
            </w:r>
            <w:r>
              <w:rPr>
                <w:rFonts w:hint="eastAsia"/>
                <w:sz w:val="24"/>
                <w:u w:val="single"/>
              </w:rPr>
              <w:t>43.071</w:t>
            </w:r>
            <w:r>
              <w:rPr>
                <w:sz w:val="24"/>
              </w:rPr>
              <w:t>秒，</w:t>
            </w:r>
            <w:r>
              <w:rPr>
                <w:sz w:val="24"/>
                <w:u w:val="single"/>
              </w:rPr>
              <w:t>31</w:t>
            </w:r>
            <w:r>
              <w:rPr>
                <w:sz w:val="24"/>
              </w:rPr>
              <w:t>度</w:t>
            </w:r>
            <w:r>
              <w:rPr>
                <w:sz w:val="24"/>
                <w:u w:val="single"/>
              </w:rPr>
              <w:t>4</w:t>
            </w:r>
            <w:r>
              <w:rPr>
                <w:rFonts w:hint="eastAsia"/>
                <w:sz w:val="24"/>
                <w:u w:val="single"/>
              </w:rPr>
              <w:t>4</w:t>
            </w:r>
            <w:r>
              <w:rPr>
                <w:sz w:val="24"/>
              </w:rPr>
              <w:t>分</w:t>
            </w:r>
            <w:r>
              <w:rPr>
                <w:rFonts w:hint="eastAsia"/>
                <w:sz w:val="24"/>
                <w:u w:val="single"/>
              </w:rPr>
              <w:t>59.432</w:t>
            </w:r>
            <w:r>
              <w:rPr>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9" w:type="dxa"/>
            <w:noWrap w:val="0"/>
            <w:tcMar>
              <w:top w:w="16" w:type="dxa"/>
              <w:left w:w="16" w:type="dxa"/>
              <w:right w:w="16" w:type="dxa"/>
            </w:tcMar>
            <w:vAlign w:val="center"/>
          </w:tcPr>
          <w:p>
            <w:pPr>
              <w:adjustRightInd w:val="0"/>
              <w:snapToGrid w:val="0"/>
              <w:jc w:val="center"/>
              <w:rPr>
                <w:color w:val="000000"/>
                <w:sz w:val="24"/>
              </w:rPr>
            </w:pPr>
            <w:r>
              <w:rPr>
                <w:color w:val="000000"/>
                <w:sz w:val="24"/>
              </w:rPr>
              <w:t>国民经济</w:t>
            </w:r>
          </w:p>
          <w:p>
            <w:pPr>
              <w:adjustRightInd w:val="0"/>
              <w:snapToGrid w:val="0"/>
              <w:jc w:val="center"/>
              <w:rPr>
                <w:color w:val="000000"/>
                <w:sz w:val="24"/>
              </w:rPr>
            </w:pPr>
            <w:r>
              <w:rPr>
                <w:color w:val="000000"/>
                <w:sz w:val="24"/>
              </w:rPr>
              <w:t>行业类别</w:t>
            </w:r>
          </w:p>
        </w:tc>
        <w:tc>
          <w:tcPr>
            <w:tcW w:w="1966" w:type="dxa"/>
            <w:gridSpan w:val="2"/>
            <w:noWrap w:val="0"/>
            <w:vAlign w:val="center"/>
          </w:tcPr>
          <w:p>
            <w:pPr>
              <w:adjustRightInd w:val="0"/>
              <w:snapToGrid w:val="0"/>
              <w:jc w:val="left"/>
              <w:rPr>
                <w:rFonts w:hint="default" w:eastAsia="宋体"/>
                <w:color w:val="000000"/>
                <w:sz w:val="24"/>
                <w:lang w:val="en-US" w:eastAsia="zh-CN"/>
              </w:rPr>
            </w:pPr>
            <w:r>
              <w:rPr>
                <w:rFonts w:hint="default" w:eastAsia="宋体"/>
                <w:color w:val="000000"/>
                <w:sz w:val="24"/>
                <w:lang w:val="en-US" w:eastAsia="zh-CN"/>
              </w:rPr>
              <w:t>C3589 其他医疗设备及器械制造</w:t>
            </w:r>
          </w:p>
        </w:tc>
        <w:tc>
          <w:tcPr>
            <w:tcW w:w="1949" w:type="dxa"/>
            <w:noWrap w:val="0"/>
            <w:vAlign w:val="center"/>
          </w:tcPr>
          <w:p>
            <w:pPr>
              <w:adjustRightInd w:val="0"/>
              <w:snapToGrid w:val="0"/>
              <w:jc w:val="center"/>
              <w:rPr>
                <w:color w:val="000000"/>
                <w:sz w:val="24"/>
              </w:rPr>
            </w:pPr>
            <w:r>
              <w:rPr>
                <w:color w:val="000000"/>
                <w:sz w:val="24"/>
              </w:rPr>
              <w:t>建设项目</w:t>
            </w:r>
          </w:p>
          <w:p>
            <w:pPr>
              <w:adjustRightInd w:val="0"/>
              <w:snapToGrid w:val="0"/>
              <w:jc w:val="center"/>
              <w:rPr>
                <w:color w:val="000000"/>
                <w:sz w:val="24"/>
              </w:rPr>
            </w:pPr>
            <w:r>
              <w:rPr>
                <w:color w:val="000000"/>
                <w:sz w:val="24"/>
              </w:rPr>
              <w:t>行业类别</w:t>
            </w:r>
          </w:p>
        </w:tc>
        <w:tc>
          <w:tcPr>
            <w:tcW w:w="3866" w:type="dxa"/>
            <w:noWrap w:val="0"/>
            <w:vAlign w:val="center"/>
          </w:tcPr>
          <w:p>
            <w:pPr>
              <w:adjustRightInd w:val="0"/>
              <w:snapToGrid w:val="0"/>
              <w:jc w:val="left"/>
              <w:rPr>
                <w:rFonts w:hint="default" w:eastAsia="宋体"/>
                <w:color w:val="000000"/>
                <w:sz w:val="24"/>
                <w:lang w:val="en-US" w:eastAsia="zh-CN"/>
              </w:rPr>
            </w:pPr>
            <w:r>
              <w:rPr>
                <w:color w:val="000000"/>
                <w:sz w:val="24"/>
              </w:rPr>
              <w:t>三十二、专用设备制造业</w:t>
            </w:r>
            <w:r>
              <w:rPr>
                <w:rFonts w:hint="eastAsia"/>
                <w:color w:val="000000"/>
                <w:sz w:val="24"/>
                <w:lang w:val="en-US" w:eastAsia="zh-CN"/>
              </w:rPr>
              <w:t>-35医疗仪器设备及器械制造-358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89" w:type="dxa"/>
            <w:noWrap w:val="0"/>
            <w:tcMar>
              <w:top w:w="16" w:type="dxa"/>
              <w:left w:w="16" w:type="dxa"/>
              <w:right w:w="16" w:type="dxa"/>
            </w:tcMar>
            <w:vAlign w:val="center"/>
          </w:tcPr>
          <w:p>
            <w:pPr>
              <w:adjustRightInd w:val="0"/>
              <w:snapToGrid w:val="0"/>
              <w:jc w:val="center"/>
              <w:rPr>
                <w:color w:val="000000"/>
                <w:sz w:val="24"/>
              </w:rPr>
            </w:pPr>
            <w:r>
              <w:rPr>
                <w:color w:val="000000"/>
                <w:sz w:val="24"/>
              </w:rPr>
              <w:t>建设性质</w:t>
            </w:r>
          </w:p>
        </w:tc>
        <w:tc>
          <w:tcPr>
            <w:tcW w:w="1953" w:type="dxa"/>
            <w:noWrap w:val="0"/>
            <w:vAlign w:val="center"/>
          </w:tcPr>
          <w:p>
            <w:pPr>
              <w:jc w:val="left"/>
              <w:rPr>
                <w:color w:val="000000"/>
                <w:sz w:val="24"/>
              </w:rPr>
            </w:pPr>
            <w:r>
              <w:rPr>
                <w:color w:val="000000"/>
                <w:sz w:val="24"/>
              </w:rPr>
              <w:sym w:font="Wingdings 2" w:char="0052"/>
            </w:r>
            <w:r>
              <w:rPr>
                <w:color w:val="000000"/>
                <w:sz w:val="24"/>
              </w:rPr>
              <w:t>新建（迁建）</w:t>
            </w:r>
          </w:p>
          <w:p>
            <w:pPr>
              <w:jc w:val="left"/>
              <w:rPr>
                <w:color w:val="000000"/>
                <w:sz w:val="24"/>
              </w:rPr>
            </w:pPr>
            <w:r>
              <w:rPr>
                <w:color w:val="000000"/>
                <w:sz w:val="24"/>
              </w:rPr>
              <w:sym w:font="Wingdings 2" w:char="00A3"/>
            </w:r>
            <w:r>
              <w:rPr>
                <w:color w:val="000000"/>
                <w:sz w:val="24"/>
              </w:rPr>
              <w:t>改建</w:t>
            </w:r>
          </w:p>
          <w:p>
            <w:pPr>
              <w:jc w:val="left"/>
              <w:rPr>
                <w:color w:val="000000"/>
                <w:sz w:val="24"/>
              </w:rPr>
            </w:pPr>
            <w:r>
              <w:rPr>
                <w:color w:val="000000"/>
                <w:sz w:val="24"/>
              </w:rPr>
              <w:sym w:font="Wingdings 2" w:char="00A3"/>
            </w:r>
            <w:r>
              <w:rPr>
                <w:color w:val="000000"/>
                <w:sz w:val="24"/>
              </w:rPr>
              <w:t>扩建</w:t>
            </w:r>
          </w:p>
          <w:p>
            <w:pPr>
              <w:jc w:val="left"/>
              <w:rPr>
                <w:color w:val="000000"/>
                <w:sz w:val="24"/>
              </w:rPr>
            </w:pPr>
            <w:r>
              <w:rPr>
                <w:color w:val="000000"/>
                <w:sz w:val="24"/>
              </w:rPr>
              <w:sym w:font="Wingdings 2" w:char="00A3"/>
            </w:r>
            <w:r>
              <w:rPr>
                <w:color w:val="000000"/>
                <w:sz w:val="24"/>
              </w:rPr>
              <w:t>技术改造</w:t>
            </w:r>
          </w:p>
        </w:tc>
        <w:tc>
          <w:tcPr>
            <w:tcW w:w="1962" w:type="dxa"/>
            <w:gridSpan w:val="2"/>
            <w:noWrap w:val="0"/>
            <w:vAlign w:val="center"/>
          </w:tcPr>
          <w:p>
            <w:pPr>
              <w:adjustRightInd w:val="0"/>
              <w:snapToGrid w:val="0"/>
              <w:jc w:val="center"/>
              <w:rPr>
                <w:color w:val="000000"/>
                <w:sz w:val="24"/>
              </w:rPr>
            </w:pPr>
            <w:r>
              <w:rPr>
                <w:color w:val="000000"/>
                <w:sz w:val="24"/>
              </w:rPr>
              <w:t>建设项目</w:t>
            </w:r>
          </w:p>
          <w:p>
            <w:pPr>
              <w:adjustRightInd w:val="0"/>
              <w:snapToGrid w:val="0"/>
              <w:jc w:val="center"/>
              <w:rPr>
                <w:color w:val="000000"/>
                <w:sz w:val="24"/>
              </w:rPr>
            </w:pPr>
            <w:r>
              <w:rPr>
                <w:color w:val="000000"/>
                <w:sz w:val="24"/>
              </w:rPr>
              <w:t>申报情形</w:t>
            </w:r>
          </w:p>
        </w:tc>
        <w:tc>
          <w:tcPr>
            <w:tcW w:w="3866" w:type="dxa"/>
            <w:noWrap w:val="0"/>
            <w:vAlign w:val="center"/>
          </w:tcPr>
          <w:p>
            <w:pPr>
              <w:jc w:val="left"/>
              <w:rPr>
                <w:color w:val="000000"/>
                <w:sz w:val="24"/>
              </w:rPr>
            </w:pPr>
            <w:r>
              <w:rPr>
                <w:color w:val="000000"/>
                <w:sz w:val="24"/>
              </w:rPr>
              <w:sym w:font="Wingdings 2" w:char="0052"/>
            </w:r>
            <w:r>
              <w:rPr>
                <w:color w:val="000000"/>
                <w:sz w:val="24"/>
              </w:rPr>
              <w:t>首次申报项目</w:t>
            </w:r>
          </w:p>
          <w:p>
            <w:pPr>
              <w:jc w:val="left"/>
              <w:rPr>
                <w:color w:val="000000"/>
                <w:sz w:val="24"/>
              </w:rPr>
            </w:pPr>
            <w:r>
              <w:rPr>
                <w:color w:val="000000"/>
                <w:sz w:val="24"/>
              </w:rPr>
              <w:sym w:font="Wingdings 2" w:char="00A3"/>
            </w:r>
            <w:r>
              <w:rPr>
                <w:color w:val="000000"/>
                <w:sz w:val="24"/>
              </w:rPr>
              <w:t>不予批准后再次申报项目</w:t>
            </w:r>
          </w:p>
          <w:p>
            <w:pPr>
              <w:jc w:val="left"/>
              <w:rPr>
                <w:color w:val="000000"/>
                <w:sz w:val="24"/>
              </w:rPr>
            </w:pPr>
            <w:r>
              <w:rPr>
                <w:color w:val="000000"/>
                <w:sz w:val="24"/>
              </w:rPr>
              <w:sym w:font="Wingdings 2" w:char="00A3"/>
            </w:r>
            <w:r>
              <w:rPr>
                <w:color w:val="000000"/>
                <w:sz w:val="24"/>
              </w:rPr>
              <w:t>超五年重新审核项目</w:t>
            </w:r>
          </w:p>
          <w:p>
            <w:pPr>
              <w:jc w:val="left"/>
              <w:rPr>
                <w:color w:val="000000"/>
                <w:sz w:val="24"/>
              </w:rPr>
            </w:pPr>
            <w:r>
              <w:rPr>
                <w:color w:val="000000"/>
                <w:sz w:val="24"/>
              </w:rPr>
              <w:sym w:font="Wingdings 2" w:char="00A3"/>
            </w:r>
            <w:r>
              <w:rPr>
                <w:color w:val="000000"/>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89" w:type="dxa"/>
            <w:noWrap w:val="0"/>
            <w:tcMar>
              <w:top w:w="16" w:type="dxa"/>
              <w:left w:w="16" w:type="dxa"/>
              <w:right w:w="16" w:type="dxa"/>
            </w:tcMar>
            <w:vAlign w:val="center"/>
          </w:tcPr>
          <w:p>
            <w:pPr>
              <w:adjustRightInd w:val="0"/>
              <w:snapToGrid w:val="0"/>
              <w:jc w:val="center"/>
              <w:rPr>
                <w:color w:val="000000"/>
                <w:sz w:val="24"/>
              </w:rPr>
            </w:pPr>
            <w:r>
              <w:rPr>
                <w:color w:val="000000"/>
                <w:sz w:val="24"/>
              </w:rPr>
              <w:t>项目审批（备案）部门</w:t>
            </w:r>
          </w:p>
        </w:tc>
        <w:tc>
          <w:tcPr>
            <w:tcW w:w="1953" w:type="dxa"/>
            <w:noWrap w:val="0"/>
            <w:vAlign w:val="center"/>
          </w:tcPr>
          <w:p>
            <w:pPr>
              <w:adjustRightInd w:val="0"/>
              <w:snapToGrid w:val="0"/>
              <w:jc w:val="center"/>
              <w:rPr>
                <w:rFonts w:hint="default" w:eastAsia="宋体"/>
                <w:color w:val="000000"/>
                <w:sz w:val="24"/>
                <w:lang w:val="en-US" w:eastAsia="zh-CN"/>
              </w:rPr>
            </w:pPr>
            <w:r>
              <w:rPr>
                <w:rFonts w:hint="eastAsia"/>
                <w:color w:val="000000"/>
                <w:sz w:val="24"/>
                <w:lang w:val="en-US" w:eastAsia="zh-CN"/>
              </w:rPr>
              <w:t>江苏金坛经济开发区经济发展局</w:t>
            </w:r>
          </w:p>
        </w:tc>
        <w:tc>
          <w:tcPr>
            <w:tcW w:w="1962" w:type="dxa"/>
            <w:gridSpan w:val="2"/>
            <w:noWrap w:val="0"/>
            <w:vAlign w:val="center"/>
          </w:tcPr>
          <w:p>
            <w:pPr>
              <w:adjustRightInd w:val="0"/>
              <w:snapToGrid w:val="0"/>
              <w:jc w:val="center"/>
              <w:rPr>
                <w:rFonts w:hint="eastAsia"/>
                <w:color w:val="000000"/>
                <w:sz w:val="24"/>
              </w:rPr>
            </w:pPr>
            <w:r>
              <w:rPr>
                <w:color w:val="000000"/>
                <w:sz w:val="24"/>
              </w:rPr>
              <w:t>项目审批（备案）</w:t>
            </w:r>
            <w:r>
              <w:rPr>
                <w:rFonts w:hint="eastAsia"/>
                <w:color w:val="000000"/>
                <w:sz w:val="24"/>
              </w:rPr>
              <w:t>文号</w:t>
            </w:r>
          </w:p>
        </w:tc>
        <w:tc>
          <w:tcPr>
            <w:tcW w:w="3866" w:type="dxa"/>
            <w:noWrap w:val="0"/>
            <w:vAlign w:val="center"/>
          </w:tcPr>
          <w:p>
            <w:pPr>
              <w:adjustRightInd w:val="0"/>
              <w:snapToGrid w:val="0"/>
              <w:jc w:val="center"/>
              <w:rPr>
                <w:rFonts w:hint="default"/>
                <w:color w:val="000000"/>
                <w:sz w:val="24"/>
                <w:lang w:val="en-US"/>
              </w:rPr>
            </w:pPr>
            <w:r>
              <w:rPr>
                <w:rFonts w:hint="eastAsia"/>
                <w:color w:val="000000"/>
                <w:sz w:val="24"/>
                <w:lang w:val="en-US" w:eastAsia="zh-CN"/>
              </w:rPr>
              <w:t>坛开科经备字坛</w:t>
            </w:r>
            <w:r>
              <w:rPr>
                <w:rFonts w:hint="eastAsia"/>
                <w:color w:val="000000"/>
                <w:sz w:val="24"/>
              </w:rPr>
              <w:t>[2021</w:t>
            </w:r>
            <w:r>
              <w:rPr>
                <w:color w:val="000000"/>
                <w:sz w:val="24"/>
              </w:rPr>
              <w:t>]</w:t>
            </w:r>
            <w:r>
              <w:rPr>
                <w:rFonts w:hint="eastAsia"/>
                <w:color w:val="000000"/>
                <w:sz w:val="24"/>
                <w:lang w:val="en-US" w:eastAsia="zh-CN"/>
              </w:rPr>
              <w:t>265</w:t>
            </w:r>
            <w:r>
              <w:rPr>
                <w:rFonts w:hint="eastAsia"/>
                <w:color w:val="000000"/>
                <w:sz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9" w:type="dxa"/>
            <w:noWrap w:val="0"/>
            <w:tcMar>
              <w:top w:w="16" w:type="dxa"/>
              <w:left w:w="16" w:type="dxa"/>
              <w:right w:w="16" w:type="dxa"/>
            </w:tcMar>
            <w:vAlign w:val="center"/>
          </w:tcPr>
          <w:p>
            <w:pPr>
              <w:adjustRightInd w:val="0"/>
              <w:snapToGrid w:val="0"/>
              <w:jc w:val="center"/>
              <w:rPr>
                <w:color w:val="000000"/>
                <w:sz w:val="24"/>
              </w:rPr>
            </w:pPr>
            <w:r>
              <w:rPr>
                <w:color w:val="000000"/>
                <w:sz w:val="24"/>
              </w:rPr>
              <w:t>总投资（万元）</w:t>
            </w:r>
          </w:p>
        </w:tc>
        <w:tc>
          <w:tcPr>
            <w:tcW w:w="1953" w:type="dxa"/>
            <w:noWrap w:val="0"/>
            <w:vAlign w:val="center"/>
          </w:tcPr>
          <w:p>
            <w:pPr>
              <w:adjustRightInd w:val="0"/>
              <w:snapToGrid w:val="0"/>
              <w:jc w:val="center"/>
              <w:rPr>
                <w:rFonts w:hint="default" w:eastAsia="宋体"/>
                <w:sz w:val="24"/>
                <w:lang w:val="en-US" w:eastAsia="zh-CN"/>
              </w:rPr>
            </w:pPr>
            <w:r>
              <w:rPr>
                <w:rFonts w:hint="eastAsia"/>
                <w:sz w:val="24"/>
                <w:lang w:val="en-US" w:eastAsia="zh-CN"/>
              </w:rPr>
              <w:t>500</w:t>
            </w:r>
          </w:p>
        </w:tc>
        <w:tc>
          <w:tcPr>
            <w:tcW w:w="1962" w:type="dxa"/>
            <w:gridSpan w:val="2"/>
            <w:noWrap w:val="0"/>
            <w:tcMar>
              <w:top w:w="16" w:type="dxa"/>
              <w:left w:w="16" w:type="dxa"/>
              <w:right w:w="16" w:type="dxa"/>
            </w:tcMar>
            <w:vAlign w:val="center"/>
          </w:tcPr>
          <w:p>
            <w:pPr>
              <w:adjustRightInd w:val="0"/>
              <w:snapToGrid w:val="0"/>
              <w:jc w:val="center"/>
              <w:rPr>
                <w:sz w:val="24"/>
              </w:rPr>
            </w:pPr>
            <w:r>
              <w:rPr>
                <w:sz w:val="24"/>
              </w:rPr>
              <w:t>环保投资（万元）</w:t>
            </w:r>
          </w:p>
        </w:tc>
        <w:tc>
          <w:tcPr>
            <w:tcW w:w="3866" w:type="dxa"/>
            <w:noWrap w:val="0"/>
            <w:vAlign w:val="center"/>
          </w:tcPr>
          <w:p>
            <w:pPr>
              <w:adjustRightInd w:val="0"/>
              <w:snapToGrid w:val="0"/>
              <w:jc w:val="center"/>
              <w:rPr>
                <w:rFonts w:hint="default" w:eastAsia="宋体"/>
                <w:color w:val="0000FF"/>
                <w:sz w:val="24"/>
                <w:lang w:val="en-US" w:eastAsia="zh-CN"/>
              </w:rPr>
            </w:pPr>
            <w:r>
              <w:rPr>
                <w:rFonts w:hint="eastAsia" w:eastAsia="宋体"/>
                <w:color w:val="000000"/>
                <w:sz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9" w:type="dxa"/>
            <w:noWrap w:val="0"/>
            <w:tcMar>
              <w:top w:w="16" w:type="dxa"/>
              <w:left w:w="16" w:type="dxa"/>
              <w:right w:w="16" w:type="dxa"/>
            </w:tcMar>
            <w:vAlign w:val="center"/>
          </w:tcPr>
          <w:p>
            <w:pPr>
              <w:adjustRightInd w:val="0"/>
              <w:snapToGrid w:val="0"/>
              <w:jc w:val="center"/>
              <w:rPr>
                <w:color w:val="0000FF"/>
                <w:sz w:val="24"/>
              </w:rPr>
            </w:pPr>
            <w:r>
              <w:rPr>
                <w:sz w:val="24"/>
              </w:rPr>
              <w:t>环保投资占比（%）</w:t>
            </w:r>
          </w:p>
        </w:tc>
        <w:tc>
          <w:tcPr>
            <w:tcW w:w="1953" w:type="dxa"/>
            <w:noWrap w:val="0"/>
            <w:vAlign w:val="center"/>
          </w:tcPr>
          <w:p>
            <w:pPr>
              <w:adjustRightInd w:val="0"/>
              <w:snapToGrid w:val="0"/>
              <w:jc w:val="center"/>
              <w:rPr>
                <w:rFonts w:hint="eastAsia" w:eastAsia="宋体"/>
                <w:sz w:val="24"/>
                <w:lang w:eastAsia="zh-CN"/>
              </w:rPr>
            </w:pPr>
            <w:r>
              <w:rPr>
                <w:rFonts w:hint="eastAsia"/>
                <w:sz w:val="24"/>
                <w:lang w:val="en-US" w:eastAsia="zh-CN"/>
              </w:rPr>
              <w:t>2</w:t>
            </w:r>
          </w:p>
        </w:tc>
        <w:tc>
          <w:tcPr>
            <w:tcW w:w="1962" w:type="dxa"/>
            <w:gridSpan w:val="2"/>
            <w:noWrap w:val="0"/>
            <w:tcMar>
              <w:top w:w="16" w:type="dxa"/>
              <w:left w:w="16" w:type="dxa"/>
              <w:right w:w="16" w:type="dxa"/>
            </w:tcMar>
            <w:vAlign w:val="center"/>
          </w:tcPr>
          <w:p>
            <w:pPr>
              <w:adjustRightInd w:val="0"/>
              <w:snapToGrid w:val="0"/>
              <w:jc w:val="center"/>
              <w:rPr>
                <w:sz w:val="24"/>
              </w:rPr>
            </w:pPr>
            <w:r>
              <w:rPr>
                <w:sz w:val="24"/>
              </w:rPr>
              <w:t>施工工期</w:t>
            </w:r>
          </w:p>
        </w:tc>
        <w:tc>
          <w:tcPr>
            <w:tcW w:w="3866" w:type="dxa"/>
            <w:noWrap w:val="0"/>
            <w:vAlign w:val="center"/>
          </w:tcPr>
          <w:p>
            <w:pPr>
              <w:adjustRightInd w:val="0"/>
              <w:snapToGrid w:val="0"/>
              <w:jc w:val="center"/>
              <w:rPr>
                <w:rFonts w:hint="eastAsia" w:eastAsia="宋体"/>
                <w:color w:val="000000"/>
                <w:sz w:val="24"/>
                <w:lang w:eastAsia="zh-CN"/>
              </w:rPr>
            </w:pPr>
            <w:r>
              <w:rPr>
                <w:rFonts w:hint="eastAsia"/>
                <w:color w:val="000000"/>
                <w:sz w:val="24"/>
                <w:highlight w:val="none"/>
                <w:lang w:val="en-US" w:eastAsia="zh-CN"/>
              </w:rPr>
              <w:t>2</w:t>
            </w:r>
            <w:r>
              <w:rPr>
                <w:color w:val="000000"/>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9" w:type="dxa"/>
            <w:noWrap w:val="0"/>
            <w:tcMar>
              <w:top w:w="16" w:type="dxa"/>
              <w:left w:w="16" w:type="dxa"/>
              <w:right w:w="16" w:type="dxa"/>
            </w:tcMar>
            <w:vAlign w:val="center"/>
          </w:tcPr>
          <w:p>
            <w:pPr>
              <w:adjustRightInd w:val="0"/>
              <w:snapToGrid w:val="0"/>
              <w:jc w:val="center"/>
              <w:rPr>
                <w:sz w:val="24"/>
              </w:rPr>
            </w:pPr>
            <w:r>
              <w:rPr>
                <w:rFonts w:hint="eastAsia"/>
                <w:sz w:val="24"/>
              </w:rPr>
              <w:t>是否开工建设</w:t>
            </w:r>
            <w:r>
              <w:rPr>
                <w:sz w:val="24"/>
              </w:rPr>
              <w:t xml:space="preserve">                                                                                                                                              </w:t>
            </w:r>
          </w:p>
        </w:tc>
        <w:tc>
          <w:tcPr>
            <w:tcW w:w="1953" w:type="dxa"/>
            <w:noWrap w:val="0"/>
            <w:vAlign w:val="center"/>
          </w:tcPr>
          <w:p>
            <w:pPr>
              <w:adjustRightInd w:val="0"/>
              <w:snapToGrid w:val="0"/>
              <w:jc w:val="left"/>
              <w:rPr>
                <w:sz w:val="24"/>
              </w:rPr>
            </w:pPr>
            <w:r>
              <w:rPr>
                <w:sz w:val="24"/>
              </w:rPr>
              <w:sym w:font="Wingdings 2" w:char="0052"/>
            </w:r>
            <w:r>
              <w:rPr>
                <w:rFonts w:hint="eastAsia"/>
                <w:sz w:val="24"/>
              </w:rPr>
              <w:t>否</w:t>
            </w:r>
          </w:p>
          <w:p>
            <w:pPr>
              <w:adjustRightInd w:val="0"/>
              <w:snapToGrid w:val="0"/>
              <w:jc w:val="left"/>
              <w:rPr>
                <w:sz w:val="24"/>
              </w:rPr>
            </w:pPr>
            <w:r>
              <w:rPr>
                <w:sz w:val="24"/>
              </w:rPr>
              <w:sym w:font="Wingdings 2" w:char="00A3"/>
            </w:r>
            <w:r>
              <w:rPr>
                <w:rFonts w:hint="eastAsia"/>
                <w:sz w:val="24"/>
              </w:rPr>
              <w:t>是</w:t>
            </w:r>
          </w:p>
        </w:tc>
        <w:tc>
          <w:tcPr>
            <w:tcW w:w="1962" w:type="dxa"/>
            <w:gridSpan w:val="2"/>
            <w:noWrap w:val="0"/>
            <w:tcMar>
              <w:top w:w="16" w:type="dxa"/>
              <w:left w:w="16" w:type="dxa"/>
              <w:right w:w="16" w:type="dxa"/>
            </w:tcMar>
            <w:vAlign w:val="center"/>
          </w:tcPr>
          <w:p>
            <w:pPr>
              <w:adjustRightInd w:val="0"/>
              <w:snapToGrid w:val="0"/>
              <w:jc w:val="center"/>
              <w:rPr>
                <w:color w:val="000000"/>
                <w:spacing w:val="-6"/>
                <w:sz w:val="24"/>
              </w:rPr>
            </w:pPr>
            <w:r>
              <w:rPr>
                <w:color w:val="000000"/>
                <w:spacing w:val="-6"/>
                <w:sz w:val="24"/>
              </w:rPr>
              <w:t>用地面积（m</w:t>
            </w:r>
            <w:r>
              <w:rPr>
                <w:color w:val="000000"/>
                <w:spacing w:val="-6"/>
                <w:sz w:val="24"/>
                <w:vertAlign w:val="superscript"/>
              </w:rPr>
              <w:t>2</w:t>
            </w:r>
            <w:r>
              <w:rPr>
                <w:color w:val="000000"/>
                <w:spacing w:val="-6"/>
                <w:sz w:val="24"/>
              </w:rPr>
              <w:t>）</w:t>
            </w:r>
          </w:p>
        </w:tc>
        <w:tc>
          <w:tcPr>
            <w:tcW w:w="3866" w:type="dxa"/>
            <w:noWrap w:val="0"/>
            <w:vAlign w:val="center"/>
          </w:tcPr>
          <w:p>
            <w:pPr>
              <w:adjustRightInd w:val="0"/>
              <w:snapToGrid w:val="0"/>
              <w:jc w:val="center"/>
              <w:rPr>
                <w:rFonts w:hint="eastAsia" w:eastAsia="宋体"/>
                <w:color w:val="000000"/>
                <w:sz w:val="24"/>
                <w:lang w:eastAsia="zh-CN"/>
              </w:rPr>
            </w:pPr>
            <w:r>
              <w:rPr>
                <w:rFonts w:hint="eastAsia"/>
                <w:color w:val="000000"/>
                <w:sz w:val="24"/>
                <w:lang w:val="en-US" w:eastAsia="zh-CN"/>
              </w:rPr>
              <w:t>1900</w:t>
            </w:r>
            <w:r>
              <w:rPr>
                <w:rFonts w:hint="eastAsia"/>
                <w:color w:val="000000"/>
                <w:sz w:val="24"/>
              </w:rPr>
              <w:t>m</w:t>
            </w:r>
            <w:r>
              <w:rPr>
                <w:rFonts w:hint="eastAsia"/>
                <w:color w:val="000000"/>
                <w:sz w:val="24"/>
                <w:vertAlign w:val="superscript"/>
              </w:rPr>
              <w:t>2</w:t>
            </w:r>
            <w:r>
              <w:rPr>
                <w:rFonts w:hint="eastAsia" w:ascii="Times New Roman" w:hAnsi="Times New Roman" w:eastAsia="宋体" w:cs="Times New Roman"/>
                <w:color w:val="000000"/>
                <w:sz w:val="24"/>
                <w:lang w:val="en-US" w:eastAsia="zh-CN"/>
              </w:rPr>
              <w:t>（租赁面积）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noWrap w:val="0"/>
            <w:vAlign w:val="center"/>
          </w:tcPr>
          <w:p>
            <w:pPr>
              <w:autoSpaceDE w:val="0"/>
              <w:autoSpaceDN w:val="0"/>
              <w:adjustRightInd w:val="0"/>
              <w:snapToGrid w:val="0"/>
              <w:jc w:val="center"/>
              <w:rPr>
                <w:color w:val="000000"/>
                <w:kern w:val="0"/>
                <w:sz w:val="24"/>
              </w:rPr>
            </w:pPr>
            <w:r>
              <w:rPr>
                <w:color w:val="000000"/>
                <w:kern w:val="0"/>
                <w:sz w:val="24"/>
              </w:rPr>
              <w:t>专项评价设置情况</w:t>
            </w:r>
          </w:p>
        </w:tc>
        <w:tc>
          <w:tcPr>
            <w:tcW w:w="7781" w:type="dxa"/>
            <w:gridSpan w:val="4"/>
            <w:noWrap w:val="0"/>
            <w:vAlign w:val="center"/>
          </w:tcPr>
          <w:p>
            <w:pPr>
              <w:autoSpaceDE w:val="0"/>
              <w:autoSpaceDN w:val="0"/>
              <w:adjustRightInd w:val="0"/>
              <w:snapToGrid w:val="0"/>
              <w:jc w:val="center"/>
              <w:rPr>
                <w:color w:val="000000"/>
                <w:kern w:val="0"/>
                <w:sz w:val="24"/>
              </w:rPr>
            </w:pPr>
            <w:r>
              <w:rPr>
                <w:color w:val="000000"/>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noWrap w:val="0"/>
            <w:vAlign w:val="center"/>
          </w:tcPr>
          <w:p>
            <w:pPr>
              <w:autoSpaceDE w:val="0"/>
              <w:autoSpaceDN w:val="0"/>
              <w:adjustRightInd w:val="0"/>
              <w:snapToGrid w:val="0"/>
              <w:jc w:val="center"/>
              <w:rPr>
                <w:color w:val="000000"/>
                <w:kern w:val="0"/>
                <w:sz w:val="24"/>
              </w:rPr>
            </w:pPr>
            <w:r>
              <w:rPr>
                <w:color w:val="000000"/>
                <w:sz w:val="24"/>
              </w:rPr>
              <w:t>规划情况</w:t>
            </w:r>
          </w:p>
        </w:tc>
        <w:tc>
          <w:tcPr>
            <w:tcW w:w="7781" w:type="dxa"/>
            <w:gridSpan w:val="4"/>
            <w:noWrap w:val="0"/>
            <w:vAlign w:val="center"/>
          </w:tcPr>
          <w:p>
            <w:pPr>
              <w:autoSpaceDE w:val="0"/>
              <w:autoSpaceDN w:val="0"/>
              <w:adjustRightInd w:val="0"/>
              <w:snapToGrid w:val="0"/>
              <w:spacing w:line="360" w:lineRule="auto"/>
              <w:jc w:val="left"/>
              <w:rPr>
                <w:rFonts w:hint="eastAsia"/>
                <w:color w:val="000000"/>
                <w:kern w:val="0"/>
                <w:sz w:val="24"/>
              </w:rPr>
            </w:pPr>
            <w:r>
              <w:rPr>
                <w:rFonts w:hint="eastAsia"/>
                <w:color w:val="000000"/>
                <w:kern w:val="0"/>
                <w:sz w:val="24"/>
              </w:rPr>
              <w:t>规划名称：《金坛经济开发区发展规划》</w:t>
            </w:r>
          </w:p>
          <w:p>
            <w:pPr>
              <w:autoSpaceDE w:val="0"/>
              <w:autoSpaceDN w:val="0"/>
              <w:adjustRightInd w:val="0"/>
              <w:snapToGrid w:val="0"/>
              <w:spacing w:line="360" w:lineRule="auto"/>
              <w:jc w:val="left"/>
              <w:rPr>
                <w:rFonts w:hint="eastAsia"/>
                <w:color w:val="000000"/>
                <w:kern w:val="0"/>
                <w:sz w:val="24"/>
              </w:rPr>
            </w:pPr>
            <w:r>
              <w:rPr>
                <w:rFonts w:hint="eastAsia"/>
                <w:color w:val="000000"/>
                <w:kern w:val="0"/>
                <w:sz w:val="24"/>
              </w:rPr>
              <w:t>审查机关：江苏省人民政府</w:t>
            </w:r>
          </w:p>
          <w:p>
            <w:pPr>
              <w:autoSpaceDE w:val="0"/>
              <w:autoSpaceDN w:val="0"/>
              <w:adjustRightInd w:val="0"/>
              <w:snapToGrid w:val="0"/>
              <w:spacing w:line="360" w:lineRule="auto"/>
              <w:jc w:val="left"/>
              <w:rPr>
                <w:color w:val="000000"/>
                <w:kern w:val="0"/>
                <w:sz w:val="24"/>
              </w:rPr>
            </w:pPr>
            <w:r>
              <w:rPr>
                <w:rFonts w:hint="eastAsia"/>
                <w:color w:val="000000"/>
                <w:kern w:val="0"/>
                <w:sz w:val="24"/>
              </w:rPr>
              <w:t>审查文件名称及文号：《省政府关于同意设立海门经济开发区等13家省级开发区的批复》（苏政复[1993]60号）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noWrap w:val="0"/>
            <w:vAlign w:val="center"/>
          </w:tcPr>
          <w:p>
            <w:pPr>
              <w:adjustRightInd w:val="0"/>
              <w:snapToGrid w:val="0"/>
              <w:jc w:val="center"/>
              <w:rPr>
                <w:color w:val="000000"/>
                <w:sz w:val="24"/>
              </w:rPr>
            </w:pPr>
            <w:r>
              <w:rPr>
                <w:color w:val="000000"/>
                <w:sz w:val="24"/>
              </w:rPr>
              <w:t>规划环境影响</w:t>
            </w:r>
          </w:p>
          <w:p>
            <w:pPr>
              <w:adjustRightInd w:val="0"/>
              <w:snapToGrid w:val="0"/>
              <w:jc w:val="center"/>
              <w:rPr>
                <w:color w:val="000000"/>
                <w:kern w:val="0"/>
                <w:sz w:val="24"/>
              </w:rPr>
            </w:pPr>
            <w:r>
              <w:rPr>
                <w:color w:val="000000"/>
                <w:sz w:val="24"/>
              </w:rPr>
              <w:t>评价情况</w:t>
            </w:r>
          </w:p>
        </w:tc>
        <w:tc>
          <w:tcPr>
            <w:tcW w:w="7781" w:type="dxa"/>
            <w:gridSpan w:val="4"/>
            <w:noWrap w:val="0"/>
            <w:vAlign w:val="center"/>
          </w:tcPr>
          <w:p>
            <w:pPr>
              <w:autoSpaceDE w:val="0"/>
              <w:autoSpaceDN w:val="0"/>
              <w:adjustRightInd w:val="0"/>
              <w:snapToGrid w:val="0"/>
              <w:spacing w:line="360" w:lineRule="auto"/>
              <w:rPr>
                <w:color w:val="000000"/>
                <w:sz w:val="24"/>
              </w:rPr>
            </w:pPr>
            <w:r>
              <w:rPr>
                <w:color w:val="000000"/>
                <w:sz w:val="24"/>
              </w:rPr>
              <w:t>规划环境影响评价文件名称：《金坛经济开发区发展规划环境影响报告书》</w:t>
            </w:r>
          </w:p>
          <w:p>
            <w:pPr>
              <w:autoSpaceDE w:val="0"/>
              <w:autoSpaceDN w:val="0"/>
              <w:adjustRightInd w:val="0"/>
              <w:snapToGrid w:val="0"/>
              <w:spacing w:line="360" w:lineRule="auto"/>
              <w:rPr>
                <w:color w:val="000000"/>
                <w:sz w:val="24"/>
              </w:rPr>
            </w:pPr>
            <w:r>
              <w:rPr>
                <w:color w:val="000000"/>
                <w:sz w:val="24"/>
              </w:rPr>
              <w:t>召集审查机关：原江苏省环境保护厅</w:t>
            </w:r>
          </w:p>
          <w:p>
            <w:pPr>
              <w:autoSpaceDE w:val="0"/>
              <w:autoSpaceDN w:val="0"/>
              <w:adjustRightInd w:val="0"/>
              <w:snapToGrid w:val="0"/>
              <w:spacing w:line="360" w:lineRule="auto"/>
              <w:rPr>
                <w:color w:val="000000"/>
                <w:sz w:val="24"/>
              </w:rPr>
            </w:pPr>
            <w:r>
              <w:rPr>
                <w:color w:val="000000"/>
                <w:sz w:val="24"/>
              </w:rPr>
              <w:t>审查文件</w:t>
            </w:r>
            <w:r>
              <w:rPr>
                <w:rFonts w:hint="eastAsia"/>
                <w:color w:val="000000"/>
                <w:kern w:val="0"/>
                <w:sz w:val="24"/>
              </w:rPr>
              <w:t>及</w:t>
            </w:r>
            <w:r>
              <w:rPr>
                <w:color w:val="000000"/>
                <w:sz w:val="24"/>
              </w:rPr>
              <w:t>文号：《关于金坛经济开发区发展规划环境影响评价审查意见》</w:t>
            </w:r>
          </w:p>
          <w:p>
            <w:pPr>
              <w:autoSpaceDE w:val="0"/>
              <w:autoSpaceDN w:val="0"/>
              <w:adjustRightInd w:val="0"/>
              <w:snapToGrid w:val="0"/>
              <w:spacing w:line="360" w:lineRule="auto"/>
              <w:rPr>
                <w:color w:val="000000"/>
                <w:kern w:val="0"/>
                <w:sz w:val="24"/>
              </w:rPr>
            </w:pPr>
            <w:r>
              <w:rPr>
                <w:color w:val="000000"/>
                <w:sz w:val="24"/>
              </w:rPr>
              <w:t>苏环审[2015]52号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9" w:type="dxa"/>
            <w:noWrap w:val="0"/>
            <w:vAlign w:val="center"/>
          </w:tcPr>
          <w:p>
            <w:pPr>
              <w:autoSpaceDE w:val="0"/>
              <w:autoSpaceDN w:val="0"/>
              <w:adjustRightInd w:val="0"/>
              <w:snapToGrid w:val="0"/>
              <w:jc w:val="center"/>
              <w:rPr>
                <w:color w:val="0000FF"/>
                <w:kern w:val="0"/>
                <w:sz w:val="24"/>
              </w:rPr>
            </w:pPr>
            <w:r>
              <w:rPr>
                <w:color w:val="000000"/>
                <w:kern w:val="0"/>
                <w:sz w:val="24"/>
              </w:rPr>
              <w:t>规划及规划环境影响评价符合性分析</w:t>
            </w:r>
          </w:p>
        </w:tc>
        <w:tc>
          <w:tcPr>
            <w:tcW w:w="7781" w:type="dxa"/>
            <w:gridSpan w:val="4"/>
            <w:noWrap w:val="0"/>
            <w:vAlign w:val="center"/>
          </w:tcPr>
          <w:p>
            <w:pPr>
              <w:adjustRightInd w:val="0"/>
              <w:snapToGrid w:val="0"/>
              <w:spacing w:before="120" w:beforeLines="50" w:line="360" w:lineRule="auto"/>
              <w:rPr>
                <w:b/>
                <w:bCs/>
                <w:color w:val="000000"/>
                <w:sz w:val="24"/>
              </w:rPr>
            </w:pPr>
            <w:r>
              <w:rPr>
                <w:rFonts w:hint="eastAsia"/>
                <w:b/>
                <w:bCs/>
                <w:color w:val="000000"/>
                <w:sz w:val="24"/>
              </w:rPr>
              <w:t>（1）规划相符性</w:t>
            </w:r>
          </w:p>
          <w:p>
            <w:pPr>
              <w:adjustRightInd w:val="0"/>
              <w:snapToGrid w:val="0"/>
              <w:spacing w:line="360" w:lineRule="auto"/>
              <w:ind w:firstLine="480" w:firstLineChars="200"/>
              <w:rPr>
                <w:color w:val="000000"/>
                <w:sz w:val="24"/>
              </w:rPr>
            </w:pPr>
            <w:r>
              <w:rPr>
                <w:rFonts w:hint="eastAsia"/>
                <w:color w:val="000000"/>
                <w:sz w:val="24"/>
              </w:rPr>
              <w:t>本项目与《金坛经济开发区发展规划》相</w:t>
            </w:r>
            <w:r>
              <w:rPr>
                <w:color w:val="000000"/>
                <w:sz w:val="24"/>
              </w:rPr>
              <w:t>符性分析见表1-1。</w:t>
            </w:r>
          </w:p>
          <w:p>
            <w:pPr>
              <w:autoSpaceDE w:val="0"/>
              <w:autoSpaceDN w:val="0"/>
              <w:adjustRightInd w:val="0"/>
              <w:snapToGrid w:val="0"/>
              <w:jc w:val="center"/>
              <w:rPr>
                <w:b/>
                <w:color w:val="000000"/>
                <w:kern w:val="0"/>
                <w:sz w:val="24"/>
              </w:rPr>
            </w:pPr>
            <w:r>
              <w:rPr>
                <w:rFonts w:hint="eastAsia"/>
                <w:b/>
                <w:color w:val="000000"/>
                <w:kern w:val="0"/>
                <w:sz w:val="24"/>
              </w:rPr>
              <w:t>表1-1  项目与金坛经济开发区发展规划相符性分析一览表</w:t>
            </w:r>
          </w:p>
          <w:tbl>
            <w:tblPr>
              <w:tblStyle w:val="23"/>
              <w:tblW w:w="756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453"/>
              <w:gridCol w:w="2458"/>
              <w:gridCol w:w="9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4" w:type="dxa"/>
                  <w:noWrap w:val="0"/>
                  <w:vAlign w:val="center"/>
                </w:tcPr>
                <w:p>
                  <w:pPr>
                    <w:autoSpaceDE w:val="0"/>
                    <w:autoSpaceDN w:val="0"/>
                    <w:adjustRightInd w:val="0"/>
                    <w:snapToGrid w:val="0"/>
                    <w:jc w:val="center"/>
                    <w:rPr>
                      <w:b/>
                      <w:bCs/>
                      <w:color w:val="000000"/>
                      <w:kern w:val="0"/>
                      <w:szCs w:val="21"/>
                    </w:rPr>
                  </w:pPr>
                  <w:r>
                    <w:rPr>
                      <w:rFonts w:hint="eastAsia"/>
                      <w:b/>
                      <w:bCs/>
                      <w:color w:val="000000"/>
                      <w:kern w:val="0"/>
                      <w:szCs w:val="21"/>
                    </w:rPr>
                    <w:t>序号</w:t>
                  </w:r>
                </w:p>
              </w:tc>
              <w:tc>
                <w:tcPr>
                  <w:tcW w:w="3453" w:type="dxa"/>
                  <w:noWrap w:val="0"/>
                  <w:vAlign w:val="center"/>
                </w:tcPr>
                <w:p>
                  <w:pPr>
                    <w:autoSpaceDE w:val="0"/>
                    <w:autoSpaceDN w:val="0"/>
                    <w:adjustRightInd w:val="0"/>
                    <w:snapToGrid w:val="0"/>
                    <w:jc w:val="center"/>
                    <w:rPr>
                      <w:b/>
                      <w:bCs/>
                      <w:color w:val="000000"/>
                      <w:kern w:val="0"/>
                      <w:szCs w:val="21"/>
                    </w:rPr>
                  </w:pPr>
                  <w:r>
                    <w:rPr>
                      <w:rFonts w:hint="eastAsia"/>
                      <w:b/>
                      <w:bCs/>
                      <w:color w:val="000000"/>
                      <w:kern w:val="0"/>
                      <w:szCs w:val="21"/>
                    </w:rPr>
                    <w:t>规划情况</w:t>
                  </w:r>
                </w:p>
              </w:tc>
              <w:tc>
                <w:tcPr>
                  <w:tcW w:w="2458" w:type="dxa"/>
                  <w:noWrap w:val="0"/>
                  <w:vAlign w:val="center"/>
                </w:tcPr>
                <w:p>
                  <w:pPr>
                    <w:autoSpaceDE w:val="0"/>
                    <w:autoSpaceDN w:val="0"/>
                    <w:adjustRightInd w:val="0"/>
                    <w:snapToGrid w:val="0"/>
                    <w:jc w:val="center"/>
                    <w:rPr>
                      <w:b/>
                      <w:bCs/>
                      <w:color w:val="000000"/>
                      <w:kern w:val="0"/>
                      <w:szCs w:val="21"/>
                    </w:rPr>
                  </w:pPr>
                  <w:r>
                    <w:rPr>
                      <w:rFonts w:hint="eastAsia"/>
                      <w:b/>
                      <w:bCs/>
                      <w:color w:val="000000"/>
                      <w:kern w:val="0"/>
                      <w:szCs w:val="21"/>
                    </w:rPr>
                    <w:t>本项目情况</w:t>
                  </w:r>
                </w:p>
              </w:tc>
              <w:tc>
                <w:tcPr>
                  <w:tcW w:w="910" w:type="dxa"/>
                  <w:noWrap w:val="0"/>
                  <w:vAlign w:val="center"/>
                </w:tcPr>
                <w:p>
                  <w:pPr>
                    <w:autoSpaceDE w:val="0"/>
                    <w:autoSpaceDN w:val="0"/>
                    <w:adjustRightInd w:val="0"/>
                    <w:snapToGrid w:val="0"/>
                    <w:jc w:val="center"/>
                    <w:rPr>
                      <w:b/>
                      <w:bCs/>
                      <w:color w:val="000000"/>
                      <w:kern w:val="0"/>
                      <w:szCs w:val="21"/>
                    </w:rPr>
                  </w:pPr>
                  <w:r>
                    <w:rPr>
                      <w:rFonts w:hint="eastAsia"/>
                      <w:b/>
                      <w:bCs/>
                      <w:color w:val="000000"/>
                      <w:kern w:val="0"/>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w:t>
                  </w:r>
                </w:p>
              </w:tc>
              <w:tc>
                <w:tcPr>
                  <w:tcW w:w="3453" w:type="dxa"/>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规划范围：东至在建省道203（东环路），南至规划沿江城际铁路，西至金湖路（金宜路）-S340-丹金溧漕河，北近开发区行政界线，距金坛和丹阳市界500m处，总面积71.3km</w:t>
                  </w:r>
                  <w:r>
                    <w:rPr>
                      <w:rFonts w:hint="eastAsia" w:ascii="Times New Roman" w:hAnsi="Times New Roman" w:eastAsia="宋体" w:cs="Times New Roman"/>
                      <w:color w:val="000000"/>
                      <w:kern w:val="0"/>
                      <w:szCs w:val="21"/>
                      <w:vertAlign w:val="superscript"/>
                    </w:rPr>
                    <w:t>2</w:t>
                  </w:r>
                  <w:r>
                    <w:rPr>
                      <w:rFonts w:hint="eastAsia" w:ascii="Times New Roman" w:hAnsi="Times New Roman" w:eastAsia="宋体" w:cs="Times New Roman"/>
                      <w:color w:val="000000"/>
                      <w:kern w:val="0"/>
                      <w:szCs w:val="21"/>
                    </w:rPr>
                    <w:t>。金坛经济开发区按照产业划分形成传统产业园区（产业北区）和创新型产业园区（产业南区）。</w:t>
                  </w:r>
                </w:p>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传统产业园区：位于金武公路以北，主要发展以服装、电子、机械、新材料和新能源等为主导的产业，规划整合为盐化工产业园、综合制造产业园、高端制造产业园、中小企业园、新能源新材料产业园。</w:t>
                  </w:r>
                </w:p>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创新产业园：位于延政西路以南，从事高新技术产品的研制、开发或提供技术外包服务和业务流程外包服务的企业用地，主要发展以新医药、环保、新传感网等新兴产业的研发、设计与营销为主。</w:t>
                  </w:r>
                </w:p>
              </w:tc>
              <w:tc>
                <w:tcPr>
                  <w:tcW w:w="2458" w:type="dxa"/>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rPr>
                    <w:t>项目建设地位于金坛经济开发区华城路1668号国际工业城5号楼北楼四层，位于传统产业园区内；行业类别为[C</w:t>
                  </w:r>
                  <w:r>
                    <w:rPr>
                      <w:rFonts w:hint="eastAsia" w:ascii="Times New Roman" w:hAnsi="Times New Roman" w:eastAsia="宋体" w:cs="Times New Roman"/>
                      <w:color w:val="000000"/>
                      <w:kern w:val="0"/>
                      <w:szCs w:val="21"/>
                      <w:lang w:val="en-US" w:eastAsia="zh-CN"/>
                    </w:rPr>
                    <w:t>3589</w:t>
                  </w:r>
                  <w:r>
                    <w:rPr>
                      <w:rFonts w:hint="eastAsia" w:ascii="Times New Roman" w:hAnsi="Times New Roman" w:eastAsia="宋体" w:cs="Times New Roman"/>
                      <w:color w:val="000000"/>
                      <w:kern w:val="0"/>
                      <w:szCs w:val="21"/>
                    </w:rPr>
                    <w:t xml:space="preserve">] </w:t>
                  </w:r>
                  <w:r>
                    <w:rPr>
                      <w:rFonts w:hint="eastAsia" w:ascii="Times New Roman" w:hAnsi="Times New Roman" w:eastAsia="宋体" w:cs="Times New Roman"/>
                      <w:color w:val="000000"/>
                      <w:kern w:val="0"/>
                      <w:szCs w:val="21"/>
                      <w:lang w:val="en-US" w:eastAsia="zh-CN"/>
                    </w:rPr>
                    <w:t>其他医疗设备及器械制造</w:t>
                  </w:r>
                  <w:r>
                    <w:rPr>
                      <w:rFonts w:hint="eastAsia" w:ascii="Times New Roman" w:hAnsi="Times New Roman" w:eastAsia="宋体" w:cs="Times New Roman"/>
                      <w:color w:val="000000"/>
                      <w:kern w:val="0"/>
                      <w:szCs w:val="21"/>
                    </w:rPr>
                    <w:t>，属于综合制造产业，符合传统产业园区产业定位</w:t>
                  </w:r>
                  <w:r>
                    <w:rPr>
                      <w:rFonts w:hint="eastAsia" w:ascii="Times New Roman" w:hAnsi="Times New Roman" w:eastAsia="宋体" w:cs="Times New Roman"/>
                      <w:color w:val="000000"/>
                      <w:kern w:val="0"/>
                      <w:szCs w:val="21"/>
                      <w:lang w:eastAsia="zh-CN"/>
                    </w:rPr>
                    <w:t>。</w:t>
                  </w:r>
                </w:p>
              </w:tc>
              <w:tc>
                <w:tcPr>
                  <w:tcW w:w="910" w:type="dxa"/>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w:t>
                  </w:r>
                </w:p>
              </w:tc>
              <w:tc>
                <w:tcPr>
                  <w:tcW w:w="3453" w:type="dxa"/>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用地布局：总用地为7130hm</w:t>
                  </w:r>
                  <w:r>
                    <w:rPr>
                      <w:rFonts w:hint="eastAsia" w:ascii="Times New Roman" w:hAnsi="Times New Roman" w:eastAsia="宋体" w:cs="Times New Roman"/>
                      <w:color w:val="000000"/>
                      <w:kern w:val="0"/>
                      <w:szCs w:val="21"/>
                      <w:vertAlign w:val="superscript"/>
                    </w:rPr>
                    <w:t>2</w:t>
                  </w:r>
                  <w:r>
                    <w:rPr>
                      <w:rFonts w:hint="eastAsia" w:ascii="Times New Roman" w:hAnsi="Times New Roman" w:eastAsia="宋体" w:cs="Times New Roman"/>
                      <w:color w:val="000000"/>
                      <w:kern w:val="0"/>
                      <w:szCs w:val="21"/>
                    </w:rPr>
                    <w:t>。其中城市建设用地为6411.2hm</w:t>
                  </w:r>
                  <w:r>
                    <w:rPr>
                      <w:rFonts w:hint="eastAsia" w:ascii="Times New Roman" w:hAnsi="Times New Roman" w:eastAsia="宋体" w:cs="Times New Roman"/>
                      <w:color w:val="000000"/>
                      <w:kern w:val="0"/>
                      <w:szCs w:val="21"/>
                      <w:vertAlign w:val="superscript"/>
                    </w:rPr>
                    <w:t>2</w:t>
                  </w:r>
                  <w:r>
                    <w:rPr>
                      <w:rFonts w:hint="eastAsia" w:ascii="Times New Roman" w:hAnsi="Times New Roman" w:eastAsia="宋体" w:cs="Times New Roman"/>
                      <w:color w:val="000000"/>
                      <w:kern w:val="0"/>
                      <w:szCs w:val="21"/>
                    </w:rPr>
                    <w:t>（工业用地2278.55m</w:t>
                  </w:r>
                  <w:r>
                    <w:rPr>
                      <w:rFonts w:hint="eastAsia" w:ascii="Times New Roman" w:hAnsi="Times New Roman" w:eastAsia="宋体" w:cs="Times New Roman"/>
                      <w:color w:val="000000"/>
                      <w:kern w:val="0"/>
                      <w:szCs w:val="21"/>
                      <w:vertAlign w:val="superscript"/>
                    </w:rPr>
                    <w:t>2</w:t>
                  </w:r>
                  <w:r>
                    <w:rPr>
                      <w:rFonts w:hint="eastAsia" w:ascii="Times New Roman" w:hAnsi="Times New Roman" w:eastAsia="宋体" w:cs="Times New Roman"/>
                      <w:color w:val="000000"/>
                      <w:kern w:val="0"/>
                      <w:szCs w:val="21"/>
                    </w:rPr>
                    <w:t>），非建设用地为334.4hm</w:t>
                  </w:r>
                  <w:r>
                    <w:rPr>
                      <w:rFonts w:hint="eastAsia" w:ascii="Times New Roman" w:hAnsi="Times New Roman" w:eastAsia="宋体" w:cs="Times New Roman"/>
                      <w:color w:val="000000"/>
                      <w:kern w:val="0"/>
                      <w:szCs w:val="21"/>
                      <w:vertAlign w:val="superscript"/>
                    </w:rPr>
                    <w:t>2</w:t>
                  </w:r>
                  <w:r>
                    <w:rPr>
                      <w:rFonts w:hint="eastAsia" w:ascii="Times New Roman" w:hAnsi="Times New Roman" w:eastAsia="宋体" w:cs="Times New Roman"/>
                      <w:color w:val="000000"/>
                      <w:kern w:val="0"/>
                      <w:szCs w:val="21"/>
                    </w:rPr>
                    <w:t>（水域面积258.3hm</w:t>
                  </w:r>
                  <w:r>
                    <w:rPr>
                      <w:rFonts w:hint="eastAsia" w:ascii="Times New Roman" w:hAnsi="Times New Roman" w:eastAsia="宋体" w:cs="Times New Roman"/>
                      <w:color w:val="000000"/>
                      <w:kern w:val="0"/>
                      <w:szCs w:val="21"/>
                      <w:vertAlign w:val="superscript"/>
                    </w:rPr>
                    <w:t>2</w:t>
                  </w:r>
                  <w:r>
                    <w:rPr>
                      <w:rFonts w:hint="eastAsia" w:ascii="Times New Roman" w:hAnsi="Times New Roman" w:eastAsia="宋体" w:cs="Times New Roman"/>
                      <w:color w:val="000000"/>
                      <w:kern w:val="0"/>
                      <w:szCs w:val="21"/>
                    </w:rPr>
                    <w:t>），发展备用地384.4hm</w:t>
                  </w:r>
                  <w:r>
                    <w:rPr>
                      <w:rFonts w:hint="eastAsia" w:ascii="Times New Roman" w:hAnsi="Times New Roman" w:eastAsia="宋体" w:cs="Times New Roman"/>
                      <w:color w:val="000000"/>
                      <w:kern w:val="0"/>
                      <w:szCs w:val="21"/>
                      <w:vertAlign w:val="superscript"/>
                    </w:rPr>
                    <w:t>2</w:t>
                  </w:r>
                  <w:r>
                    <w:rPr>
                      <w:rFonts w:hint="eastAsia" w:ascii="Times New Roman" w:hAnsi="Times New Roman" w:eastAsia="宋体" w:cs="Times New Roman"/>
                      <w:color w:val="000000"/>
                      <w:kern w:val="0"/>
                      <w:szCs w:val="21"/>
                    </w:rPr>
                    <w:t>。</w:t>
                  </w:r>
                </w:p>
              </w:tc>
              <w:tc>
                <w:tcPr>
                  <w:tcW w:w="2458" w:type="dxa"/>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项目建设地属于工业用地。</w:t>
                  </w:r>
                </w:p>
              </w:tc>
              <w:tc>
                <w:tcPr>
                  <w:tcW w:w="910" w:type="dxa"/>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p>
              </w:tc>
              <w:tc>
                <w:tcPr>
                  <w:tcW w:w="3453" w:type="dxa"/>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环保基础设施规划：采用雨污分流排水体制，污水经收集后排入金坛第二污水处理厂集中处理。</w:t>
                  </w:r>
                </w:p>
              </w:tc>
              <w:tc>
                <w:tcPr>
                  <w:tcW w:w="2458" w:type="dxa"/>
                  <w:noWrap w:val="0"/>
                  <w:vAlign w:val="center"/>
                </w:tcPr>
                <w:p>
                  <w:pPr>
                    <w:autoSpaceDE w:val="0"/>
                    <w:autoSpaceDN w:val="0"/>
                    <w:adjustRightInd w:val="0"/>
                    <w:snapToGrid w:val="0"/>
                    <w:jc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rPr>
                    <w:t>项目所在地金坛经济开发区已实施雨污分流制；本项目产生</w:t>
                  </w:r>
                  <w:r>
                    <w:rPr>
                      <w:rFonts w:hint="eastAsia" w:ascii="Times New Roman" w:hAnsi="Times New Roman" w:eastAsia="宋体" w:cs="Times New Roman"/>
                      <w:color w:val="000000"/>
                      <w:kern w:val="0"/>
                      <w:szCs w:val="21"/>
                      <w:lang w:eastAsia="zh-CN"/>
                    </w:rPr>
                    <w:t>的</w:t>
                  </w:r>
                  <w:r>
                    <w:rPr>
                      <w:rFonts w:hint="eastAsia" w:ascii="Times New Roman" w:hAnsi="Times New Roman" w:eastAsia="宋体" w:cs="Times New Roman"/>
                      <w:color w:val="000000"/>
                      <w:kern w:val="0"/>
                      <w:szCs w:val="21"/>
                      <w:lang w:val="en-US" w:eastAsia="zh-CN"/>
                    </w:rPr>
                    <w:t>反渗透浓水</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lang w:val="en-US" w:eastAsia="zh-CN"/>
                    </w:rPr>
                    <w:t>清洗废水以及</w:t>
                  </w:r>
                  <w:r>
                    <w:rPr>
                      <w:rFonts w:hint="eastAsia" w:ascii="Times New Roman" w:hAnsi="Times New Roman" w:eastAsia="宋体" w:cs="Times New Roman"/>
                      <w:color w:val="000000"/>
                      <w:kern w:val="0"/>
                      <w:szCs w:val="21"/>
                    </w:rPr>
                    <w:t>生活污水接管至金坛第二污水处理厂集中处理</w:t>
                  </w:r>
                  <w:r>
                    <w:rPr>
                      <w:rFonts w:hint="eastAsia" w:ascii="Times New Roman" w:hAnsi="Times New Roman" w:eastAsia="宋体" w:cs="Times New Roman"/>
                      <w:color w:val="000000"/>
                      <w:kern w:val="0"/>
                      <w:szCs w:val="21"/>
                      <w:lang w:val="en-US" w:eastAsia="zh-CN"/>
                    </w:rPr>
                    <w:t>。</w:t>
                  </w:r>
                </w:p>
              </w:tc>
              <w:tc>
                <w:tcPr>
                  <w:tcW w:w="910" w:type="dxa"/>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w:t>
                  </w:r>
                </w:p>
              </w:tc>
              <w:tc>
                <w:tcPr>
                  <w:tcW w:w="3453" w:type="dxa"/>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环卫：采用垃圾分类处理方式，分类后的无机物、废品垃圾尽量回收利用，有机垃圾以焚烧为主。</w:t>
                  </w:r>
                </w:p>
              </w:tc>
              <w:tc>
                <w:tcPr>
                  <w:tcW w:w="2458" w:type="dxa"/>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废包装材料收集后外售物资公司综合利用</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rPr>
                    <w:t>废料、不合格品委托固废处置单位处置；废擦拭布以及</w:t>
                  </w:r>
                  <w:r>
                    <w:rPr>
                      <w:rFonts w:hint="eastAsia" w:ascii="Times New Roman" w:hAnsi="Times New Roman" w:eastAsia="宋体" w:cs="Times New Roman"/>
                      <w:color w:val="000000"/>
                      <w:kern w:val="0"/>
                      <w:szCs w:val="21"/>
                      <w:lang w:val="en-US" w:eastAsia="zh-CN"/>
                    </w:rPr>
                    <w:t>研磨水箱更换废液</w:t>
                  </w:r>
                  <w:r>
                    <w:rPr>
                      <w:rFonts w:hint="eastAsia" w:ascii="Times New Roman" w:hAnsi="Times New Roman" w:eastAsia="宋体" w:cs="Times New Roman"/>
                      <w:color w:val="000000"/>
                      <w:kern w:val="0"/>
                      <w:szCs w:val="21"/>
                    </w:rPr>
                    <w:t>统一收集后委托有资质单位处置；生活垃圾由环卫部门清运。</w:t>
                  </w:r>
                </w:p>
              </w:tc>
              <w:tc>
                <w:tcPr>
                  <w:tcW w:w="910" w:type="dxa"/>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符合</w:t>
                  </w:r>
                </w:p>
              </w:tc>
            </w:tr>
          </w:tbl>
          <w:p>
            <w:pPr>
              <w:adjustRightInd w:val="0"/>
              <w:snapToGrid w:val="0"/>
              <w:spacing w:before="120" w:beforeLines="50" w:line="360" w:lineRule="auto"/>
              <w:ind w:firstLine="480" w:firstLineChars="200"/>
              <w:rPr>
                <w:rFonts w:hint="eastAsia"/>
                <w:b/>
                <w:color w:val="000000"/>
                <w:kern w:val="0"/>
                <w:sz w:val="24"/>
              </w:rPr>
            </w:pPr>
            <w:r>
              <w:rPr>
                <w:rFonts w:hint="eastAsia"/>
                <w:color w:val="000000"/>
                <w:sz w:val="24"/>
              </w:rPr>
              <w:t>本项目建设地位于金坛经济开发区华城路1668号国际工业城5号楼北楼四层，位于传统产业园区内；行业类别为[C</w:t>
            </w:r>
            <w:r>
              <w:rPr>
                <w:rFonts w:hint="eastAsia"/>
                <w:color w:val="000000"/>
                <w:sz w:val="24"/>
                <w:lang w:val="en-US" w:eastAsia="zh-CN"/>
              </w:rPr>
              <w:t>3589</w:t>
            </w:r>
            <w:r>
              <w:rPr>
                <w:rFonts w:hint="eastAsia"/>
                <w:color w:val="000000"/>
                <w:sz w:val="24"/>
              </w:rPr>
              <w:t>]</w:t>
            </w:r>
            <w:r>
              <w:rPr>
                <w:rFonts w:hint="eastAsia"/>
                <w:color w:val="000000"/>
                <w:sz w:val="24"/>
                <w:lang w:val="en-US" w:eastAsia="zh-CN"/>
              </w:rPr>
              <w:t>其他医疗设备及器械制造</w:t>
            </w:r>
            <w:r>
              <w:rPr>
                <w:rFonts w:hint="eastAsia"/>
                <w:color w:val="000000"/>
                <w:sz w:val="24"/>
              </w:rPr>
              <w:t>，属于综合制造产业，符合传统产业园区产业定位；项目选址用地性质为金坛经济开发区规划的工业用地范围内</w:t>
            </w:r>
            <w:r>
              <w:rPr>
                <w:rFonts w:hint="eastAsia"/>
                <w:color w:val="000000"/>
                <w:sz w:val="24"/>
                <w:lang w:eastAsia="zh-CN"/>
              </w:rPr>
              <w:t>；</w:t>
            </w:r>
            <w:r>
              <w:rPr>
                <w:rFonts w:hint="eastAsia"/>
                <w:color w:val="000000"/>
                <w:sz w:val="24"/>
              </w:rPr>
              <w:t>项目所在地金坛经济开发区已采用雨污分流制</w:t>
            </w:r>
            <w:r>
              <w:rPr>
                <w:rFonts w:hint="eastAsia"/>
                <w:color w:val="000000"/>
                <w:sz w:val="24"/>
                <w:highlight w:val="none"/>
              </w:rPr>
              <w:t>，本项目产生</w:t>
            </w:r>
            <w:r>
              <w:rPr>
                <w:rFonts w:hint="eastAsia"/>
                <w:color w:val="000000"/>
                <w:sz w:val="24"/>
                <w:highlight w:val="none"/>
                <w:lang w:eastAsia="zh-CN"/>
              </w:rPr>
              <w:t>的</w:t>
            </w:r>
            <w:r>
              <w:rPr>
                <w:rFonts w:hint="eastAsia"/>
                <w:color w:val="000000"/>
                <w:sz w:val="24"/>
                <w:highlight w:val="none"/>
                <w:lang w:val="en-US" w:eastAsia="zh-CN"/>
              </w:rPr>
              <w:t>反渗透浓水、清洗废水以及</w:t>
            </w:r>
            <w:r>
              <w:rPr>
                <w:rFonts w:hint="eastAsia"/>
                <w:color w:val="000000"/>
                <w:sz w:val="24"/>
                <w:highlight w:val="none"/>
              </w:rPr>
              <w:t>生活污水</w:t>
            </w:r>
            <w:r>
              <w:rPr>
                <w:rFonts w:hint="eastAsia"/>
                <w:color w:val="000000"/>
                <w:sz w:val="24"/>
              </w:rPr>
              <w:t>接管至</w:t>
            </w:r>
            <w:r>
              <w:rPr>
                <w:rFonts w:hint="eastAsia"/>
                <w:color w:val="000000"/>
                <w:sz w:val="24"/>
                <w:lang w:eastAsia="zh-CN"/>
              </w:rPr>
              <w:t>金坛区第二污水处理厂；废包装材料收集后外售物资公司综合利用，废料、不合格品委托固废处置单位处置，废擦拭布以及研磨水箱更换废液统一收集后委托有资质单位处置，生活垃圾由环卫部门清运。</w:t>
            </w:r>
            <w:r>
              <w:rPr>
                <w:rFonts w:hint="eastAsia"/>
                <w:color w:val="000000"/>
                <w:sz w:val="24"/>
              </w:rPr>
              <w:t>因此项目建设符合《金坛经济开发区发展规划》中相关要求。</w:t>
            </w:r>
          </w:p>
          <w:p>
            <w:pPr>
              <w:autoSpaceDE w:val="0"/>
              <w:autoSpaceDN w:val="0"/>
              <w:adjustRightInd w:val="0"/>
              <w:snapToGrid w:val="0"/>
              <w:spacing w:line="360" w:lineRule="auto"/>
              <w:rPr>
                <w:b/>
                <w:color w:val="000000"/>
                <w:kern w:val="0"/>
                <w:sz w:val="24"/>
              </w:rPr>
            </w:pPr>
            <w:r>
              <w:rPr>
                <w:rFonts w:hint="eastAsia"/>
                <w:b/>
                <w:color w:val="000000"/>
                <w:kern w:val="0"/>
                <w:sz w:val="24"/>
              </w:rPr>
              <w:t>（2）规划环境影响评价相符性分析</w:t>
            </w:r>
          </w:p>
          <w:p>
            <w:pPr>
              <w:autoSpaceDE w:val="0"/>
              <w:autoSpaceDN w:val="0"/>
              <w:adjustRightInd w:val="0"/>
              <w:snapToGrid w:val="0"/>
              <w:spacing w:line="360" w:lineRule="auto"/>
              <w:ind w:firstLine="480" w:firstLineChars="200"/>
              <w:rPr>
                <w:color w:val="000000"/>
                <w:kern w:val="0"/>
                <w:sz w:val="24"/>
              </w:rPr>
            </w:pPr>
            <w:r>
              <w:rPr>
                <w:rFonts w:hint="eastAsia"/>
                <w:color w:val="000000"/>
                <w:kern w:val="0"/>
                <w:sz w:val="24"/>
              </w:rPr>
              <w:t>项目与《金坛经济开发区发展规划环境影响报告书》及《关于金坛经济开发区发展规划环境影响评价审查意见》相符性分析见表1-2。</w:t>
            </w:r>
          </w:p>
          <w:p>
            <w:pPr>
              <w:autoSpaceDE w:val="0"/>
              <w:autoSpaceDN w:val="0"/>
              <w:adjustRightInd w:val="0"/>
              <w:snapToGrid w:val="0"/>
              <w:jc w:val="center"/>
              <w:rPr>
                <w:b/>
                <w:color w:val="000000"/>
                <w:kern w:val="0"/>
                <w:sz w:val="24"/>
              </w:rPr>
            </w:pPr>
            <w:r>
              <w:rPr>
                <w:rFonts w:hint="eastAsia"/>
                <w:b/>
                <w:color w:val="000000"/>
                <w:kern w:val="0"/>
                <w:sz w:val="24"/>
              </w:rPr>
              <w:t>表1-2  项目与金坛经济开发区发展规划环境影响报告书及审查意见</w:t>
            </w:r>
          </w:p>
          <w:p>
            <w:pPr>
              <w:autoSpaceDE w:val="0"/>
              <w:autoSpaceDN w:val="0"/>
              <w:adjustRightInd w:val="0"/>
              <w:snapToGrid w:val="0"/>
              <w:jc w:val="center"/>
              <w:rPr>
                <w:b/>
                <w:color w:val="000000"/>
                <w:kern w:val="0"/>
                <w:sz w:val="24"/>
              </w:rPr>
            </w:pPr>
            <w:r>
              <w:rPr>
                <w:rFonts w:hint="eastAsia"/>
                <w:b/>
                <w:color w:val="000000"/>
                <w:kern w:val="0"/>
                <w:sz w:val="24"/>
              </w:rPr>
              <w:t>相符性分析</w:t>
            </w:r>
          </w:p>
          <w:tbl>
            <w:tblPr>
              <w:tblStyle w:val="23"/>
              <w:tblW w:w="760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987"/>
              <w:gridCol w:w="2938"/>
              <w:gridCol w:w="9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0" w:type="dxa"/>
                  <w:tcBorders>
                    <w:top w:val="single" w:color="auto" w:sz="12" w:space="0"/>
                    <w:left w:val="nil"/>
                    <w:bottom w:val="single" w:color="auto" w:sz="4" w:space="0"/>
                    <w:right w:val="single" w:color="auto" w:sz="4" w:space="0"/>
                  </w:tcBorders>
                  <w:noWrap w:val="0"/>
                  <w:vAlign w:val="center"/>
                </w:tcPr>
                <w:p>
                  <w:pPr>
                    <w:autoSpaceDE w:val="0"/>
                    <w:autoSpaceDN w:val="0"/>
                    <w:adjustRightInd w:val="0"/>
                    <w:snapToGrid w:val="0"/>
                    <w:jc w:val="center"/>
                    <w:rPr>
                      <w:b/>
                      <w:color w:val="000000"/>
                      <w:kern w:val="0"/>
                      <w:szCs w:val="21"/>
                    </w:rPr>
                  </w:pPr>
                  <w:r>
                    <w:rPr>
                      <w:rFonts w:hint="eastAsia"/>
                      <w:b/>
                      <w:color w:val="000000"/>
                      <w:kern w:val="0"/>
                      <w:szCs w:val="21"/>
                    </w:rPr>
                    <w:t>序号</w:t>
                  </w:r>
                </w:p>
              </w:tc>
              <w:tc>
                <w:tcPr>
                  <w:tcW w:w="2987"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b/>
                      <w:color w:val="000000"/>
                      <w:kern w:val="0"/>
                      <w:szCs w:val="21"/>
                    </w:rPr>
                  </w:pPr>
                  <w:r>
                    <w:rPr>
                      <w:rFonts w:hint="eastAsia"/>
                      <w:b/>
                      <w:color w:val="000000"/>
                      <w:kern w:val="0"/>
                      <w:szCs w:val="21"/>
                    </w:rPr>
                    <w:t>相关要求</w:t>
                  </w:r>
                </w:p>
              </w:tc>
              <w:tc>
                <w:tcPr>
                  <w:tcW w:w="293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b/>
                      <w:color w:val="000000"/>
                      <w:kern w:val="0"/>
                      <w:szCs w:val="21"/>
                    </w:rPr>
                  </w:pPr>
                  <w:r>
                    <w:rPr>
                      <w:rFonts w:hint="eastAsia"/>
                      <w:b/>
                      <w:color w:val="000000"/>
                      <w:kern w:val="0"/>
                      <w:szCs w:val="21"/>
                    </w:rPr>
                    <w:t>本项目情况</w:t>
                  </w:r>
                </w:p>
              </w:tc>
              <w:tc>
                <w:tcPr>
                  <w:tcW w:w="900" w:type="dxa"/>
                  <w:tcBorders>
                    <w:top w:val="single" w:color="auto" w:sz="12" w:space="0"/>
                    <w:left w:val="single" w:color="auto" w:sz="4" w:space="0"/>
                    <w:bottom w:val="single" w:color="auto" w:sz="4" w:space="0"/>
                    <w:right w:val="nil"/>
                  </w:tcBorders>
                  <w:noWrap w:val="0"/>
                  <w:vAlign w:val="center"/>
                </w:tcPr>
                <w:p>
                  <w:pPr>
                    <w:autoSpaceDE w:val="0"/>
                    <w:autoSpaceDN w:val="0"/>
                    <w:adjustRightInd w:val="0"/>
                    <w:snapToGrid w:val="0"/>
                    <w:jc w:val="center"/>
                    <w:rPr>
                      <w:b/>
                      <w:color w:val="000000"/>
                      <w:kern w:val="0"/>
                      <w:szCs w:val="21"/>
                    </w:rPr>
                  </w:pPr>
                  <w:r>
                    <w:rPr>
                      <w:rFonts w:hint="eastAsia"/>
                      <w:b/>
                      <w:color w:val="000000"/>
                      <w:kern w:val="0"/>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rPr>
                      <w:color w:val="000000"/>
                      <w:kern w:val="0"/>
                      <w:szCs w:val="21"/>
                    </w:rPr>
                  </w:pPr>
                  <w:r>
                    <w:rPr>
                      <w:rFonts w:hint="eastAsia"/>
                      <w:color w:val="000000"/>
                      <w:kern w:val="0"/>
                      <w:szCs w:val="21"/>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szCs w:val="21"/>
                    </w:rPr>
                  </w:pPr>
                  <w:r>
                    <w:rPr>
                      <w:rFonts w:hint="eastAsia"/>
                      <w:color w:val="000000"/>
                      <w:kern w:val="0"/>
                      <w:szCs w:val="21"/>
                    </w:rPr>
                    <w:t>开发区应引进科技含量高、产品附加值高、无污染或污染程度低的项目。</w:t>
                  </w:r>
                </w:p>
              </w:tc>
              <w:tc>
                <w:tcPr>
                  <w:tcW w:w="2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rPr>
                    <w:t>项目从事</w:t>
                  </w:r>
                  <w:r>
                    <w:rPr>
                      <w:rFonts w:hint="eastAsia" w:ascii="Times New Roman" w:hAnsi="Times New Roman" w:eastAsia="宋体" w:cs="Times New Roman"/>
                      <w:color w:val="000000"/>
                      <w:kern w:val="0"/>
                      <w:szCs w:val="21"/>
                      <w:lang w:val="en-US" w:eastAsia="zh-CN"/>
                    </w:rPr>
                    <w:t>其他医疗设备及器械制造</w:t>
                  </w:r>
                  <w:r>
                    <w:rPr>
                      <w:rFonts w:hint="eastAsia" w:ascii="Times New Roman" w:hAnsi="Times New Roman" w:eastAsia="宋体" w:cs="Times New Roman"/>
                      <w:color w:val="000000"/>
                      <w:kern w:val="0"/>
                      <w:szCs w:val="21"/>
                    </w:rPr>
                    <w:t>，采用的生产设备科技含量高、产品附加值较高；</w:t>
                  </w:r>
                  <w:r>
                    <w:rPr>
                      <w:rFonts w:hint="eastAsia" w:ascii="Times New Roman" w:hAnsi="Times New Roman" w:eastAsia="宋体" w:cs="Times New Roman"/>
                      <w:color w:val="000000"/>
                      <w:kern w:val="0"/>
                      <w:szCs w:val="21"/>
                      <w:lang w:val="en-US" w:eastAsia="zh-CN"/>
                    </w:rPr>
                    <w:t>纯水制备产生的反渗透浓水、清洗废水以及</w:t>
                  </w:r>
                  <w:r>
                    <w:rPr>
                      <w:rFonts w:hint="eastAsia" w:ascii="Times New Roman" w:hAnsi="Times New Roman" w:eastAsia="宋体" w:cs="Times New Roman"/>
                      <w:color w:val="000000"/>
                      <w:kern w:val="0"/>
                      <w:szCs w:val="21"/>
                    </w:rPr>
                    <w:t>生活污水</w:t>
                  </w:r>
                  <w:r>
                    <w:rPr>
                      <w:rFonts w:hint="eastAsia" w:ascii="Times New Roman" w:hAnsi="Times New Roman" w:eastAsia="宋体" w:cs="Times New Roman"/>
                      <w:color w:val="000000"/>
                      <w:kern w:val="0"/>
                      <w:szCs w:val="21"/>
                      <w:lang w:val="en-US" w:eastAsia="zh-CN"/>
                    </w:rPr>
                    <w:t>接市政管网达标排放，抛光</w:t>
                  </w:r>
                  <w:r>
                    <w:rPr>
                      <w:rFonts w:hint="eastAsia" w:ascii="Times New Roman" w:hAnsi="Times New Roman" w:eastAsia="宋体" w:cs="Times New Roman"/>
                      <w:color w:val="000000"/>
                      <w:kern w:val="0"/>
                      <w:szCs w:val="21"/>
                    </w:rPr>
                    <w:t>工序中产生的</w:t>
                  </w:r>
                  <w:r>
                    <w:rPr>
                      <w:rFonts w:hint="eastAsia" w:ascii="Times New Roman" w:hAnsi="Times New Roman" w:eastAsia="宋体" w:cs="Times New Roman"/>
                      <w:color w:val="000000"/>
                      <w:kern w:val="0"/>
                      <w:szCs w:val="21"/>
                      <w:lang w:eastAsia="zh-CN"/>
                    </w:rPr>
                    <w:t>研磨水箱更换废液</w:t>
                  </w:r>
                  <w:r>
                    <w:rPr>
                      <w:rFonts w:hint="eastAsia" w:ascii="Times New Roman" w:hAnsi="Times New Roman" w:eastAsia="宋体" w:cs="Times New Roman"/>
                      <w:color w:val="000000"/>
                      <w:kern w:val="0"/>
                      <w:szCs w:val="21"/>
                    </w:rPr>
                    <w:t>作为危废处理，不外排</w:t>
                  </w:r>
                  <w:r>
                    <w:rPr>
                      <w:rFonts w:hint="eastAsia" w:ascii="Times New Roman" w:hAnsi="Times New Roman" w:eastAsia="宋体" w:cs="Times New Roman"/>
                      <w:color w:val="000000"/>
                      <w:kern w:val="0"/>
                      <w:szCs w:val="21"/>
                      <w:lang w:eastAsia="zh-CN"/>
                    </w:rPr>
                    <w:t>。</w:t>
                  </w:r>
                </w:p>
              </w:tc>
              <w:tc>
                <w:tcPr>
                  <w:tcW w:w="900" w:type="dxa"/>
                  <w:tcBorders>
                    <w:top w:val="single" w:color="auto" w:sz="4" w:space="0"/>
                    <w:left w:val="single" w:color="auto" w:sz="4" w:space="0"/>
                    <w:bottom w:val="single" w:color="auto" w:sz="4" w:space="0"/>
                    <w:right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rPr>
                      <w:rFonts w:hint="eastAsia"/>
                      <w:color w:val="000000"/>
                      <w:kern w:val="0"/>
                      <w:szCs w:val="21"/>
                    </w:rPr>
                  </w:pPr>
                  <w:r>
                    <w:rPr>
                      <w:rFonts w:hint="eastAsia"/>
                      <w:color w:val="000000"/>
                      <w:kern w:val="0"/>
                      <w:szCs w:val="21"/>
                    </w:rPr>
                    <w:t>2</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color w:val="000000"/>
                      <w:kern w:val="0"/>
                      <w:szCs w:val="21"/>
                    </w:rPr>
                  </w:pPr>
                  <w:r>
                    <w:rPr>
                      <w:rFonts w:hint="eastAsia"/>
                      <w:color w:val="000000"/>
                      <w:kern w:val="0"/>
                      <w:szCs w:val="21"/>
                    </w:rPr>
                    <w:t>在园区大气中HCl稳定达标前禁止引进排放大气污染物HCl的企业和项目。</w:t>
                  </w:r>
                </w:p>
              </w:tc>
              <w:tc>
                <w:tcPr>
                  <w:tcW w:w="2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项目不排放HCl废气。</w:t>
                  </w:r>
                </w:p>
              </w:tc>
              <w:tc>
                <w:tcPr>
                  <w:tcW w:w="900" w:type="dxa"/>
                  <w:tcBorders>
                    <w:top w:val="single" w:color="auto" w:sz="4" w:space="0"/>
                    <w:left w:val="single" w:color="auto" w:sz="4" w:space="0"/>
                    <w:bottom w:val="single" w:color="auto" w:sz="4" w:space="0"/>
                    <w:right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8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rPr>
                      <w:rFonts w:hint="eastAsia"/>
                      <w:color w:val="000000"/>
                      <w:kern w:val="0"/>
                      <w:szCs w:val="21"/>
                    </w:rPr>
                  </w:pPr>
                  <w:r>
                    <w:rPr>
                      <w:rFonts w:hint="eastAsia"/>
                      <w:color w:val="000000"/>
                      <w:kern w:val="0"/>
                      <w:szCs w:val="21"/>
                    </w:rPr>
                    <w:t>3</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color w:val="000000"/>
                      <w:kern w:val="0"/>
                      <w:szCs w:val="21"/>
                    </w:rPr>
                  </w:pPr>
                  <w:r>
                    <w:rPr>
                      <w:rFonts w:hint="eastAsia"/>
                      <w:color w:val="000000"/>
                      <w:kern w:val="0"/>
                      <w:szCs w:val="21"/>
                    </w:rPr>
                    <w:t>与钱资荡生态红线区边界相邻2000米内用地布置为污染程度低的工业项目。</w:t>
                  </w:r>
                </w:p>
              </w:tc>
              <w:tc>
                <w:tcPr>
                  <w:tcW w:w="2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项目距钱资荡生态红线区最近距离为5.</w:t>
                  </w:r>
                  <w:r>
                    <w:rPr>
                      <w:rFonts w:hint="eastAsia" w:ascii="Times New Roman" w:hAnsi="Times New Roman" w:eastAsia="宋体" w:cs="Times New Roman"/>
                      <w:color w:val="000000"/>
                      <w:kern w:val="0"/>
                      <w:szCs w:val="21"/>
                      <w:lang w:val="en-US" w:eastAsia="zh-CN"/>
                    </w:rPr>
                    <w:t>6</w:t>
                  </w:r>
                  <w:r>
                    <w:rPr>
                      <w:rFonts w:hint="eastAsia" w:ascii="Times New Roman" w:hAnsi="Times New Roman" w:eastAsia="宋体" w:cs="Times New Roman"/>
                      <w:color w:val="000000"/>
                      <w:kern w:val="0"/>
                      <w:szCs w:val="21"/>
                    </w:rPr>
                    <w:t>km；项目产生</w:t>
                  </w:r>
                  <w:r>
                    <w:rPr>
                      <w:rFonts w:hint="eastAsia" w:ascii="Times New Roman" w:hAnsi="Times New Roman" w:eastAsia="宋体" w:cs="Times New Roman"/>
                      <w:color w:val="000000"/>
                      <w:kern w:val="0"/>
                      <w:szCs w:val="21"/>
                      <w:lang w:val="en-US" w:eastAsia="zh-CN"/>
                    </w:rPr>
                    <w:t>的反渗透浓水、清洗废水以及</w:t>
                  </w:r>
                  <w:r>
                    <w:rPr>
                      <w:rFonts w:hint="eastAsia" w:ascii="Times New Roman" w:hAnsi="Times New Roman" w:eastAsia="宋体" w:cs="Times New Roman"/>
                      <w:color w:val="000000"/>
                      <w:kern w:val="0"/>
                      <w:szCs w:val="21"/>
                    </w:rPr>
                    <w:t>生活污水</w:t>
                  </w:r>
                  <w:r>
                    <w:rPr>
                      <w:rFonts w:hint="eastAsia" w:ascii="Times New Roman" w:hAnsi="Times New Roman" w:eastAsia="宋体" w:cs="Times New Roman"/>
                      <w:color w:val="000000"/>
                      <w:kern w:val="0"/>
                      <w:szCs w:val="21"/>
                      <w:lang w:val="en-US" w:eastAsia="zh-CN"/>
                    </w:rPr>
                    <w:t>接市政管网达标排放</w:t>
                  </w:r>
                  <w:r>
                    <w:rPr>
                      <w:rFonts w:hint="eastAsia" w:ascii="Times New Roman" w:hAnsi="Times New Roman" w:eastAsia="宋体" w:cs="Times New Roman"/>
                      <w:color w:val="000000"/>
                      <w:kern w:val="0"/>
                      <w:szCs w:val="21"/>
                    </w:rPr>
                    <w:t>，研磨水箱更换废液统一收集后委托有资质单位处置</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rPr>
                    <w:t>不外排，污染程度较低。</w:t>
                  </w:r>
                </w:p>
              </w:tc>
              <w:tc>
                <w:tcPr>
                  <w:tcW w:w="900" w:type="dxa"/>
                  <w:tcBorders>
                    <w:top w:val="single" w:color="auto" w:sz="4" w:space="0"/>
                    <w:left w:val="single" w:color="auto" w:sz="4" w:space="0"/>
                    <w:bottom w:val="single" w:color="auto" w:sz="4" w:space="0"/>
                    <w:right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rPr>
                      <w:rFonts w:hint="eastAsia"/>
                      <w:color w:val="000000"/>
                      <w:kern w:val="0"/>
                      <w:szCs w:val="21"/>
                    </w:rPr>
                  </w:pPr>
                  <w:r>
                    <w:rPr>
                      <w:rFonts w:hint="eastAsia"/>
                      <w:color w:val="000000"/>
                      <w:kern w:val="0"/>
                      <w:szCs w:val="21"/>
                    </w:rPr>
                    <w:t>4</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color w:val="000000"/>
                      <w:kern w:val="0"/>
                      <w:szCs w:val="21"/>
                    </w:rPr>
                  </w:pPr>
                  <w:r>
                    <w:rPr>
                      <w:rFonts w:hint="eastAsia"/>
                      <w:color w:val="000000"/>
                      <w:kern w:val="0"/>
                      <w:szCs w:val="21"/>
                    </w:rPr>
                    <w:t>加快环保基础设施建设。园区实施雨污分流、清污分流和污水集中处理，建设完善区内污水管网。</w:t>
                  </w:r>
                </w:p>
              </w:tc>
              <w:tc>
                <w:tcPr>
                  <w:tcW w:w="2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项目所在地金坛经济开发区已实施雨污分流、清污分流，污水经</w:t>
                  </w:r>
                  <w:r>
                    <w:rPr>
                      <w:rFonts w:hint="eastAsia" w:ascii="Times New Roman" w:hAnsi="Times New Roman" w:eastAsia="宋体" w:cs="Times New Roman"/>
                      <w:color w:val="000000"/>
                      <w:kern w:val="0"/>
                      <w:szCs w:val="21"/>
                      <w:lang w:val="en-US" w:eastAsia="zh-CN"/>
                    </w:rPr>
                    <w:t>园区</w:t>
                  </w:r>
                  <w:r>
                    <w:rPr>
                      <w:rFonts w:hint="eastAsia" w:ascii="Times New Roman" w:hAnsi="Times New Roman" w:eastAsia="宋体" w:cs="Times New Roman"/>
                      <w:color w:val="000000"/>
                      <w:kern w:val="0"/>
                      <w:szCs w:val="21"/>
                    </w:rPr>
                    <w:t>接管至金坛区第二污水处理厂集中处理。</w:t>
                  </w:r>
                </w:p>
              </w:tc>
              <w:tc>
                <w:tcPr>
                  <w:tcW w:w="900" w:type="dxa"/>
                  <w:tcBorders>
                    <w:top w:val="single" w:color="auto" w:sz="4" w:space="0"/>
                    <w:left w:val="single" w:color="auto" w:sz="4" w:space="0"/>
                    <w:bottom w:val="single" w:color="auto" w:sz="4" w:space="0"/>
                    <w:right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rPr>
                      <w:color w:val="000000"/>
                      <w:kern w:val="0"/>
                      <w:szCs w:val="21"/>
                    </w:rPr>
                  </w:pPr>
                  <w:r>
                    <w:rPr>
                      <w:rFonts w:hint="eastAsia"/>
                      <w:color w:val="000000"/>
                      <w:kern w:val="0"/>
                      <w:szCs w:val="21"/>
                    </w:rPr>
                    <w:t>5</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szCs w:val="21"/>
                    </w:rPr>
                  </w:pPr>
                  <w:r>
                    <w:rPr>
                      <w:rFonts w:hint="eastAsia"/>
                      <w:color w:val="000000"/>
                      <w:kern w:val="0"/>
                      <w:szCs w:val="21"/>
                    </w:rPr>
                    <w:t>加强固体废物的集中处理处置，危险废物交由有资质的单位处置。</w:t>
                  </w:r>
                </w:p>
              </w:tc>
              <w:tc>
                <w:tcPr>
                  <w:tcW w:w="2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项目建设一般固废仓库及危险废物仓库收集、贮存固体废物</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rPr>
                    <w:t>危险废物交由有资质单位处置。</w:t>
                  </w:r>
                </w:p>
              </w:tc>
              <w:tc>
                <w:tcPr>
                  <w:tcW w:w="900" w:type="dxa"/>
                  <w:tcBorders>
                    <w:top w:val="single" w:color="auto" w:sz="4" w:space="0"/>
                    <w:left w:val="single" w:color="auto" w:sz="4" w:space="0"/>
                    <w:bottom w:val="single" w:color="auto" w:sz="4" w:space="0"/>
                    <w:right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rPr>
                      <w:color w:val="000000"/>
                      <w:kern w:val="0"/>
                      <w:szCs w:val="21"/>
                    </w:rPr>
                  </w:pPr>
                  <w:r>
                    <w:rPr>
                      <w:rFonts w:hint="eastAsia"/>
                      <w:color w:val="000000"/>
                      <w:kern w:val="0"/>
                      <w:szCs w:val="21"/>
                    </w:rPr>
                    <w:t>6</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rFonts w:hint="eastAsia"/>
                      <w:color w:val="000000"/>
                      <w:kern w:val="0"/>
                      <w:szCs w:val="21"/>
                    </w:rPr>
                    <w:t>加强区域大气环境保护，严格落实HCl等大气特征污染物防治措施，强化恶臭、VOCs等特征污染物的控制与治理，严格控制SO</w:t>
                  </w:r>
                  <w:r>
                    <w:rPr>
                      <w:rFonts w:hint="eastAsia"/>
                      <w:color w:val="000000"/>
                      <w:kern w:val="0"/>
                      <w:szCs w:val="21"/>
                      <w:vertAlign w:val="subscript"/>
                    </w:rPr>
                    <w:t>2</w:t>
                  </w:r>
                  <w:r>
                    <w:rPr>
                      <w:rFonts w:hint="eastAsia"/>
                      <w:color w:val="000000"/>
                      <w:kern w:val="0"/>
                      <w:szCs w:val="21"/>
                    </w:rPr>
                    <w:t>、NOx、VOCs等大气污染物排放总量。</w:t>
                  </w:r>
                </w:p>
              </w:tc>
              <w:tc>
                <w:tcPr>
                  <w:tcW w:w="2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rPr>
                    <w:t>本项目</w:t>
                  </w:r>
                  <w:r>
                    <w:rPr>
                      <w:rFonts w:hint="eastAsia" w:ascii="Times New Roman" w:hAnsi="Times New Roman" w:eastAsia="宋体" w:cs="Times New Roman"/>
                      <w:color w:val="000000"/>
                      <w:kern w:val="0"/>
                      <w:szCs w:val="21"/>
                      <w:lang w:val="en-US" w:eastAsia="zh-CN"/>
                    </w:rPr>
                    <w:t>无废气产生</w:t>
                  </w:r>
                  <w:r>
                    <w:rPr>
                      <w:rFonts w:hint="eastAsia" w:ascii="Times New Roman" w:hAnsi="Times New Roman" w:eastAsia="宋体" w:cs="Times New Roman"/>
                      <w:color w:val="000000"/>
                      <w:kern w:val="0"/>
                      <w:szCs w:val="21"/>
                    </w:rPr>
                    <w:t>。</w:t>
                  </w:r>
                </w:p>
              </w:tc>
              <w:tc>
                <w:tcPr>
                  <w:tcW w:w="900" w:type="dxa"/>
                  <w:tcBorders>
                    <w:top w:val="single" w:color="auto" w:sz="4" w:space="0"/>
                    <w:left w:val="single" w:color="auto" w:sz="4" w:space="0"/>
                    <w:bottom w:val="single" w:color="auto" w:sz="4" w:space="0"/>
                    <w:right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rPr>
                      <w:color w:val="000000"/>
                      <w:kern w:val="0"/>
                      <w:szCs w:val="21"/>
                    </w:rPr>
                  </w:pPr>
                  <w:r>
                    <w:rPr>
                      <w:rFonts w:hint="eastAsia"/>
                      <w:color w:val="000000"/>
                      <w:kern w:val="0"/>
                      <w:szCs w:val="21"/>
                    </w:rPr>
                    <w:t>7</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rFonts w:hint="eastAsia"/>
                      <w:color w:val="000000"/>
                      <w:kern w:val="0"/>
                      <w:szCs w:val="21"/>
                    </w:rPr>
                    <w:t>落实《江苏省太湖污染防治条例》要求，加强太湖流域水环境保护。</w:t>
                  </w:r>
                </w:p>
              </w:tc>
              <w:tc>
                <w:tcPr>
                  <w:tcW w:w="2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项目所用配件均为外购，外购配件均已达清洁标准，项目用水均为厂区自备纯水，不添加任何洗涤剂，因此</w:t>
                  </w:r>
                  <w:r>
                    <w:rPr>
                      <w:rFonts w:hint="eastAsia" w:ascii="Times New Roman" w:hAnsi="Times New Roman" w:eastAsia="宋体" w:cs="Times New Roman"/>
                      <w:color w:val="000000"/>
                      <w:kern w:val="0"/>
                      <w:szCs w:val="21"/>
                    </w:rPr>
                    <w:t>项目产生</w:t>
                  </w:r>
                  <w:r>
                    <w:rPr>
                      <w:rFonts w:hint="eastAsia" w:ascii="Times New Roman" w:hAnsi="Times New Roman" w:eastAsia="宋体" w:cs="Times New Roman"/>
                      <w:color w:val="000000"/>
                      <w:kern w:val="0"/>
                      <w:szCs w:val="21"/>
                      <w:lang w:eastAsia="zh-CN"/>
                    </w:rPr>
                    <w:t>的</w:t>
                  </w:r>
                  <w:r>
                    <w:rPr>
                      <w:rFonts w:hint="eastAsia" w:ascii="Times New Roman" w:hAnsi="Times New Roman" w:eastAsia="宋体" w:cs="Times New Roman"/>
                      <w:color w:val="000000"/>
                      <w:kern w:val="0"/>
                      <w:szCs w:val="21"/>
                      <w:lang w:val="en-US" w:eastAsia="zh-CN"/>
                    </w:rPr>
                    <w:t>反渗透浓水、清洗废水、</w:t>
                  </w:r>
                  <w:r>
                    <w:rPr>
                      <w:rFonts w:hint="eastAsia" w:ascii="Times New Roman" w:hAnsi="Times New Roman" w:eastAsia="宋体" w:cs="Times New Roman"/>
                      <w:color w:val="000000"/>
                      <w:kern w:val="0"/>
                      <w:szCs w:val="21"/>
                      <w:lang w:eastAsia="zh-CN"/>
                    </w:rPr>
                    <w:t>研磨水箱更换废液</w:t>
                  </w:r>
                  <w:r>
                    <w:rPr>
                      <w:rFonts w:hint="eastAsia" w:ascii="Times New Roman" w:hAnsi="Times New Roman" w:eastAsia="宋体" w:cs="Times New Roman"/>
                      <w:color w:val="000000"/>
                      <w:kern w:val="0"/>
                      <w:szCs w:val="21"/>
                      <w:lang w:val="en-US" w:eastAsia="zh-CN"/>
                    </w:rPr>
                    <w:t>都不含氮磷</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lang w:val="en-US" w:eastAsia="zh-CN"/>
                    </w:rPr>
                    <w:t>反渗透浓水、清洗废水、生活污水</w:t>
                  </w:r>
                  <w:r>
                    <w:rPr>
                      <w:rFonts w:hint="eastAsia" w:ascii="Times New Roman" w:hAnsi="Times New Roman" w:eastAsia="宋体" w:cs="Times New Roman"/>
                      <w:color w:val="000000"/>
                      <w:kern w:val="0"/>
                      <w:szCs w:val="21"/>
                    </w:rPr>
                    <w:t>接管至金坛区第二污水处理厂，</w:t>
                  </w:r>
                  <w:r>
                    <w:rPr>
                      <w:rFonts w:hint="eastAsia" w:ascii="Times New Roman" w:hAnsi="Times New Roman" w:eastAsia="宋体" w:cs="Times New Roman"/>
                      <w:color w:val="000000"/>
                      <w:kern w:val="0"/>
                      <w:szCs w:val="21"/>
                      <w:lang w:eastAsia="zh-CN"/>
                    </w:rPr>
                    <w:t>研磨水箱更换废液</w:t>
                  </w:r>
                  <w:r>
                    <w:rPr>
                      <w:rFonts w:hint="eastAsia" w:ascii="Times New Roman" w:hAnsi="Times New Roman" w:eastAsia="宋体" w:cs="Times New Roman"/>
                      <w:color w:val="000000"/>
                      <w:kern w:val="0"/>
                      <w:szCs w:val="21"/>
                      <w:lang w:val="en-US" w:eastAsia="zh-CN"/>
                    </w:rPr>
                    <w:t>统一</w:t>
                  </w:r>
                  <w:r>
                    <w:rPr>
                      <w:rFonts w:hint="eastAsia" w:ascii="Times New Roman" w:hAnsi="Times New Roman" w:eastAsia="宋体" w:cs="Times New Roman"/>
                      <w:color w:val="000000"/>
                      <w:kern w:val="0"/>
                      <w:szCs w:val="21"/>
                      <w:lang w:eastAsia="zh-CN"/>
                    </w:rPr>
                    <w:t>收集后委托有资质单位处置，</w:t>
                  </w:r>
                  <w:r>
                    <w:rPr>
                      <w:rFonts w:hint="eastAsia" w:ascii="Times New Roman" w:hAnsi="Times New Roman" w:eastAsia="宋体" w:cs="Times New Roman"/>
                      <w:color w:val="000000"/>
                      <w:kern w:val="0"/>
                      <w:szCs w:val="21"/>
                    </w:rPr>
                    <w:t>满足《江苏省太湖污染防治条例》要求。</w:t>
                  </w:r>
                </w:p>
              </w:tc>
              <w:tc>
                <w:tcPr>
                  <w:tcW w:w="900" w:type="dxa"/>
                  <w:tcBorders>
                    <w:top w:val="single" w:color="auto" w:sz="4" w:space="0"/>
                    <w:left w:val="single" w:color="auto" w:sz="4" w:space="0"/>
                    <w:bottom w:val="single" w:color="auto" w:sz="4" w:space="0"/>
                    <w:right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0" w:type="dxa"/>
                  <w:tcBorders>
                    <w:top w:val="single" w:color="auto" w:sz="4" w:space="0"/>
                    <w:left w:val="nil"/>
                    <w:bottom w:val="single" w:color="auto" w:sz="12" w:space="0"/>
                    <w:right w:val="single" w:color="auto" w:sz="4" w:space="0"/>
                  </w:tcBorders>
                  <w:noWrap w:val="0"/>
                  <w:vAlign w:val="center"/>
                </w:tcPr>
                <w:p>
                  <w:pPr>
                    <w:autoSpaceDE w:val="0"/>
                    <w:autoSpaceDN w:val="0"/>
                    <w:adjustRightInd w:val="0"/>
                    <w:snapToGrid w:val="0"/>
                    <w:jc w:val="center"/>
                    <w:rPr>
                      <w:color w:val="000000"/>
                      <w:kern w:val="0"/>
                      <w:szCs w:val="21"/>
                    </w:rPr>
                  </w:pPr>
                  <w:r>
                    <w:rPr>
                      <w:rFonts w:hint="eastAsia"/>
                      <w:color w:val="000000"/>
                      <w:kern w:val="0"/>
                      <w:szCs w:val="21"/>
                    </w:rPr>
                    <w:t>8</w:t>
                  </w:r>
                </w:p>
              </w:tc>
              <w:tc>
                <w:tcPr>
                  <w:tcW w:w="2987"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napToGrid w:val="0"/>
                    <w:jc w:val="center"/>
                    <w:rPr>
                      <w:color w:val="000000"/>
                      <w:kern w:val="0"/>
                      <w:szCs w:val="21"/>
                    </w:rPr>
                  </w:pPr>
                  <w:r>
                    <w:rPr>
                      <w:rFonts w:hint="eastAsia"/>
                      <w:color w:val="000000"/>
                      <w:kern w:val="0"/>
                      <w:szCs w:val="21"/>
                    </w:rPr>
                    <w:t>严格控制园区人口规模和用水定额，减少工业企业用水量和污水排放量，严格控制COD、氨氮、总磷等污染物排放总量。</w:t>
                  </w:r>
                </w:p>
              </w:tc>
              <w:tc>
                <w:tcPr>
                  <w:tcW w:w="2938"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rPr>
                    <w:t>项目产生少量生活污水</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lang w:val="en-US" w:eastAsia="zh-CN"/>
                    </w:rPr>
                    <w:t>以及纯水制备产生的反渗透浓水、清洗过程中</w:t>
                  </w:r>
                  <w:r>
                    <w:rPr>
                      <w:rFonts w:hint="eastAsia" w:ascii="Times New Roman" w:hAnsi="Times New Roman" w:eastAsia="宋体" w:cs="Times New Roman"/>
                      <w:color w:val="000000"/>
                      <w:kern w:val="0"/>
                      <w:szCs w:val="21"/>
                    </w:rPr>
                    <w:t>产生</w:t>
                  </w:r>
                  <w:r>
                    <w:rPr>
                      <w:rFonts w:hint="eastAsia" w:ascii="Times New Roman" w:hAnsi="Times New Roman" w:eastAsia="宋体" w:cs="Times New Roman"/>
                      <w:color w:val="000000"/>
                      <w:kern w:val="0"/>
                      <w:szCs w:val="21"/>
                      <w:lang w:val="en-US" w:eastAsia="zh-CN"/>
                    </w:rPr>
                    <w:t>的清洗废水、抛光工序中研磨水箱产生的更换废液，</w:t>
                  </w:r>
                  <w:r>
                    <w:rPr>
                      <w:rFonts w:hint="eastAsia" w:ascii="Times New Roman" w:hAnsi="Times New Roman" w:eastAsia="宋体" w:cs="Times New Roman"/>
                      <w:color w:val="000000"/>
                      <w:kern w:val="0"/>
                      <w:szCs w:val="21"/>
                    </w:rPr>
                    <w:t>排放总量较低</w:t>
                  </w:r>
                  <w:r>
                    <w:rPr>
                      <w:rFonts w:hint="eastAsia" w:ascii="Times New Roman" w:hAnsi="Times New Roman" w:eastAsia="宋体" w:cs="Times New Roman"/>
                      <w:color w:val="000000"/>
                      <w:kern w:val="0"/>
                      <w:szCs w:val="21"/>
                      <w:lang w:eastAsia="zh-CN"/>
                    </w:rPr>
                    <w:t>。</w:t>
                  </w:r>
                </w:p>
              </w:tc>
              <w:tc>
                <w:tcPr>
                  <w:tcW w:w="900" w:type="dxa"/>
                  <w:tcBorders>
                    <w:top w:val="single" w:color="auto" w:sz="4" w:space="0"/>
                    <w:left w:val="single" w:color="auto" w:sz="4" w:space="0"/>
                    <w:bottom w:val="single" w:color="auto" w:sz="12" w:space="0"/>
                    <w:right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符合</w:t>
                  </w:r>
                </w:p>
              </w:tc>
            </w:tr>
          </w:tbl>
          <w:p>
            <w:pPr>
              <w:adjustRightInd w:val="0"/>
              <w:snapToGrid w:val="0"/>
              <w:spacing w:before="120" w:beforeLines="50" w:line="360" w:lineRule="auto"/>
              <w:ind w:firstLine="480" w:firstLineChars="200"/>
              <w:rPr>
                <w:rFonts w:hint="eastAsia"/>
                <w:color w:val="000000"/>
                <w:sz w:val="24"/>
                <w:highlight w:val="none"/>
              </w:rPr>
            </w:pPr>
            <w:r>
              <w:rPr>
                <w:rFonts w:hint="eastAsia"/>
                <w:color w:val="000000"/>
                <w:sz w:val="24"/>
              </w:rPr>
              <w:t>项目从事</w:t>
            </w:r>
            <w:r>
              <w:rPr>
                <w:rFonts w:hint="eastAsia"/>
                <w:color w:val="000000"/>
                <w:sz w:val="24"/>
                <w:lang w:val="en-US" w:eastAsia="zh-CN"/>
              </w:rPr>
              <w:t>其他医疗设备及器械制造</w:t>
            </w:r>
            <w:r>
              <w:rPr>
                <w:rFonts w:hint="eastAsia"/>
                <w:color w:val="000000"/>
                <w:sz w:val="24"/>
              </w:rPr>
              <w:t>，采用的设备科技含量高、产品附加值较高；项目所在地金坛经济开发区已实施雨污分流；项目无废气产生</w:t>
            </w:r>
            <w:r>
              <w:rPr>
                <w:rFonts w:hint="eastAsia"/>
                <w:color w:val="000000"/>
                <w:sz w:val="24"/>
                <w:lang w:eastAsia="zh-CN"/>
              </w:rPr>
              <w:t>；</w:t>
            </w:r>
            <w:r>
              <w:rPr>
                <w:rFonts w:hint="eastAsia"/>
                <w:color w:val="000000"/>
                <w:sz w:val="24"/>
              </w:rPr>
              <w:t>项目产生少量生活污水</w:t>
            </w:r>
            <w:r>
              <w:rPr>
                <w:rFonts w:hint="eastAsia"/>
                <w:color w:val="000000"/>
                <w:sz w:val="24"/>
                <w:lang w:eastAsia="zh-CN"/>
              </w:rPr>
              <w:t>、</w:t>
            </w:r>
            <w:r>
              <w:rPr>
                <w:rFonts w:hint="eastAsia"/>
                <w:color w:val="000000"/>
                <w:sz w:val="24"/>
                <w:lang w:val="en-US" w:eastAsia="zh-CN"/>
              </w:rPr>
              <w:t>纯水制备产生的反渗透浓水、清洗过程中</w:t>
            </w:r>
            <w:r>
              <w:rPr>
                <w:rFonts w:hint="eastAsia"/>
                <w:color w:val="000000"/>
                <w:sz w:val="24"/>
              </w:rPr>
              <w:t>产生</w:t>
            </w:r>
            <w:r>
              <w:rPr>
                <w:rFonts w:hint="eastAsia"/>
                <w:color w:val="000000"/>
                <w:sz w:val="24"/>
                <w:lang w:val="en-US" w:eastAsia="zh-CN"/>
              </w:rPr>
              <w:t>的清洗废水、以及抛光工序中研磨水箱产生的更换废液，反渗透浓水、清洗废水、生活污水</w:t>
            </w:r>
            <w:r>
              <w:rPr>
                <w:rFonts w:hint="eastAsia"/>
                <w:color w:val="000000"/>
                <w:sz w:val="24"/>
                <w:highlight w:val="none"/>
              </w:rPr>
              <w:t>接管</w:t>
            </w:r>
            <w:r>
              <w:rPr>
                <w:rFonts w:hint="eastAsia"/>
                <w:color w:val="000000"/>
                <w:sz w:val="24"/>
              </w:rPr>
              <w:t>至金坛区第二污水处理厂集中处理</w:t>
            </w:r>
            <w:r>
              <w:rPr>
                <w:rFonts w:hint="eastAsia"/>
                <w:color w:val="000000"/>
                <w:sz w:val="24"/>
                <w:lang w:eastAsia="zh-CN"/>
              </w:rPr>
              <w:t>，研磨水箱更换废液统一收集后委托有资质单位处置</w:t>
            </w:r>
            <w:r>
              <w:rPr>
                <w:rFonts w:hint="eastAsia"/>
                <w:color w:val="000000"/>
                <w:sz w:val="24"/>
                <w:highlight w:val="none"/>
              </w:rPr>
              <w:t>；建立一般固废仓库、危险废物仓库，满足固体废物分类收集、贮存的要求，危险废物委托有资质单位安全处置，项目污染程度较低，满足《江苏省太湖污染防治条例》要求；距钱资荡生态红线区最近距离为5.</w:t>
            </w:r>
            <w:r>
              <w:rPr>
                <w:rFonts w:hint="eastAsia"/>
                <w:color w:val="000000"/>
                <w:sz w:val="24"/>
                <w:highlight w:val="none"/>
                <w:lang w:val="en-US" w:eastAsia="zh-CN"/>
              </w:rPr>
              <w:t>6</w:t>
            </w:r>
            <w:r>
              <w:rPr>
                <w:rFonts w:hint="eastAsia"/>
                <w:color w:val="000000"/>
                <w:sz w:val="24"/>
                <w:highlight w:val="none"/>
              </w:rPr>
              <w:t>km，不会导致其生态红线区域服务功能下降。</w:t>
            </w:r>
          </w:p>
          <w:p>
            <w:pPr>
              <w:adjustRightInd w:val="0"/>
              <w:snapToGrid w:val="0"/>
              <w:spacing w:line="360" w:lineRule="auto"/>
              <w:ind w:firstLine="480" w:firstLineChars="200"/>
              <w:rPr>
                <w:rFonts w:hint="eastAsia"/>
                <w:color w:val="000000"/>
                <w:sz w:val="24"/>
              </w:rPr>
            </w:pPr>
            <w:r>
              <w:rPr>
                <w:rFonts w:hint="eastAsia"/>
                <w:color w:val="000000"/>
                <w:sz w:val="24"/>
              </w:rPr>
              <w:t>因此项目建设符合《金坛经济开发区发展规划环境影响报告书》及《关于金坛经济开发区发展规划环境影响评价审查意见》中相关要求。</w:t>
            </w:r>
          </w:p>
          <w:p>
            <w:pPr>
              <w:adjustRightInd w:val="0"/>
              <w:snapToGrid w:val="0"/>
              <w:spacing w:line="360" w:lineRule="auto"/>
              <w:ind w:firstLine="480" w:firstLineChars="200"/>
              <w:rPr>
                <w:rFonts w:hint="eastAsia"/>
                <w:color w:val="000000"/>
                <w:sz w:val="24"/>
              </w:rPr>
            </w:pPr>
          </w:p>
          <w:p>
            <w:pPr>
              <w:adjustRightInd w:val="0"/>
              <w:snapToGrid w:val="0"/>
              <w:spacing w:line="360" w:lineRule="auto"/>
              <w:ind w:firstLine="480" w:firstLineChars="200"/>
              <w:rPr>
                <w:rFonts w:hint="eastAsia"/>
                <w:color w:val="000000"/>
                <w:sz w:val="24"/>
              </w:rPr>
            </w:pPr>
          </w:p>
          <w:p>
            <w:pPr>
              <w:adjustRightInd w:val="0"/>
              <w:snapToGrid w:val="0"/>
              <w:spacing w:line="360" w:lineRule="auto"/>
              <w:rPr>
                <w:rFonts w:hint="eastAsia"/>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1089" w:type="dxa"/>
            <w:noWrap w:val="0"/>
            <w:vAlign w:val="center"/>
          </w:tcPr>
          <w:p>
            <w:pPr>
              <w:autoSpaceDE w:val="0"/>
              <w:autoSpaceDN w:val="0"/>
              <w:adjustRightInd w:val="0"/>
              <w:snapToGrid w:val="0"/>
              <w:jc w:val="center"/>
              <w:rPr>
                <w:color w:val="0000FF"/>
                <w:kern w:val="0"/>
                <w:sz w:val="24"/>
              </w:rPr>
            </w:pPr>
            <w:r>
              <w:rPr>
                <w:color w:val="000000"/>
                <w:kern w:val="0"/>
                <w:sz w:val="24"/>
              </w:rPr>
              <w:t>其他符合性分析</w:t>
            </w:r>
          </w:p>
        </w:tc>
        <w:tc>
          <w:tcPr>
            <w:tcW w:w="7781" w:type="dxa"/>
            <w:gridSpan w:val="4"/>
            <w:noWrap w:val="0"/>
            <w:vAlign w:val="center"/>
          </w:tcPr>
          <w:p>
            <w:pPr>
              <w:adjustRightInd w:val="0"/>
              <w:snapToGrid w:val="0"/>
              <w:spacing w:line="360" w:lineRule="auto"/>
              <w:rPr>
                <w:b/>
                <w:bCs/>
                <w:color w:val="000000"/>
                <w:sz w:val="24"/>
              </w:rPr>
            </w:pPr>
            <w:r>
              <w:rPr>
                <w:b/>
                <w:bCs/>
                <w:color w:val="000000"/>
                <w:sz w:val="24"/>
              </w:rPr>
              <w:t>1、产业政策相符性分析</w:t>
            </w:r>
          </w:p>
          <w:p>
            <w:pPr>
              <w:adjustRightInd w:val="0"/>
              <w:snapToGrid w:val="0"/>
              <w:spacing w:line="360" w:lineRule="auto"/>
              <w:ind w:firstLine="480" w:firstLineChars="200"/>
              <w:rPr>
                <w:color w:val="000000"/>
                <w:sz w:val="24"/>
              </w:rPr>
            </w:pPr>
            <w:r>
              <w:rPr>
                <w:color w:val="000000"/>
                <w:sz w:val="24"/>
              </w:rPr>
              <w:t>本项目</w:t>
            </w:r>
            <w:r>
              <w:rPr>
                <w:rFonts w:hint="eastAsia"/>
                <w:color w:val="000000"/>
                <w:sz w:val="24"/>
                <w:lang w:val="en-US" w:eastAsia="zh-CN"/>
              </w:rPr>
              <w:t>其他医疗设备及器械制造</w:t>
            </w:r>
            <w:r>
              <w:rPr>
                <w:color w:val="000000"/>
                <w:sz w:val="24"/>
              </w:rPr>
              <w:t>，行业类别为</w:t>
            </w:r>
            <w:r>
              <w:rPr>
                <w:rFonts w:hint="eastAsia"/>
                <w:color w:val="000000"/>
                <w:sz w:val="24"/>
              </w:rPr>
              <w:t>[C</w:t>
            </w:r>
            <w:r>
              <w:rPr>
                <w:rFonts w:hint="eastAsia"/>
                <w:color w:val="000000"/>
                <w:sz w:val="24"/>
                <w:lang w:val="en-US" w:eastAsia="zh-CN"/>
              </w:rPr>
              <w:t>3589</w:t>
            </w:r>
            <w:r>
              <w:rPr>
                <w:rFonts w:hint="eastAsia"/>
                <w:color w:val="000000"/>
                <w:sz w:val="24"/>
              </w:rPr>
              <w:t>]</w:t>
            </w:r>
            <w:r>
              <w:rPr>
                <w:rFonts w:hint="eastAsia"/>
                <w:color w:val="000000"/>
                <w:sz w:val="24"/>
                <w:lang w:val="en-US" w:eastAsia="zh-CN"/>
              </w:rPr>
              <w:t>其他医疗设备及器械制造</w:t>
            </w:r>
            <w:r>
              <w:rPr>
                <w:color w:val="000000"/>
                <w:sz w:val="24"/>
              </w:rPr>
              <w:t>，对照《产业结构调整指导目录（2019年本）》，本项目不属于其限制类或淘汰类项目，属于允许建设项目；不属于《江苏省工业和信息产业结构调整限制、淘汰目录和能耗限额》</w:t>
            </w:r>
            <w:r>
              <w:rPr>
                <w:rFonts w:hint="eastAsia" w:ascii="宋体" w:hAnsi="宋体" w:cs="宋体"/>
                <w:color w:val="000000"/>
                <w:sz w:val="24"/>
              </w:rPr>
              <w:t>(</w:t>
            </w:r>
            <w:r>
              <w:rPr>
                <w:color w:val="000000"/>
                <w:sz w:val="24"/>
              </w:rPr>
              <w:t>苏政办发[2015]118号</w:t>
            </w:r>
            <w:r>
              <w:rPr>
                <w:rFonts w:hint="eastAsia" w:ascii="宋体" w:hAnsi="宋体" w:cs="宋体"/>
                <w:color w:val="000000"/>
                <w:sz w:val="24"/>
              </w:rPr>
              <w:t>)</w:t>
            </w:r>
            <w:r>
              <w:rPr>
                <w:color w:val="000000"/>
                <w:sz w:val="24"/>
              </w:rPr>
              <w:t>中限制类和淘汰类项目；</w:t>
            </w:r>
            <w:r>
              <w:rPr>
                <w:rFonts w:hint="eastAsia"/>
                <w:color w:val="000000"/>
                <w:sz w:val="24"/>
              </w:rPr>
              <w:t>不属于《江苏省产业结构调整限制、淘汰和禁止目录》（苏办发[2018]32号）中限制、淘汰和禁止项目；</w:t>
            </w:r>
            <w:r>
              <w:rPr>
                <w:color w:val="000000"/>
                <w:sz w:val="24"/>
              </w:rPr>
              <w:t>也不属于其他相关法律法规要求淘汰和限制的项目，符合国家和地方产业政策。</w:t>
            </w:r>
          </w:p>
          <w:p>
            <w:pPr>
              <w:adjustRightInd w:val="0"/>
              <w:snapToGrid w:val="0"/>
              <w:spacing w:line="360" w:lineRule="auto"/>
              <w:rPr>
                <w:b/>
                <w:bCs/>
                <w:color w:val="000000"/>
                <w:sz w:val="24"/>
              </w:rPr>
            </w:pPr>
            <w:r>
              <w:rPr>
                <w:rFonts w:hint="eastAsia"/>
                <w:b/>
                <w:bCs/>
                <w:color w:val="000000"/>
                <w:sz w:val="24"/>
              </w:rPr>
              <w:t>2、规划选址合理性分析</w:t>
            </w:r>
          </w:p>
          <w:p>
            <w:pPr>
              <w:adjustRightInd w:val="0"/>
              <w:snapToGrid w:val="0"/>
              <w:spacing w:line="360" w:lineRule="auto"/>
              <w:ind w:firstLine="480" w:firstLineChars="200"/>
              <w:rPr>
                <w:b/>
                <w:bCs/>
                <w:color w:val="000000"/>
                <w:sz w:val="24"/>
              </w:rPr>
            </w:pPr>
            <w:r>
              <w:rPr>
                <w:rFonts w:hint="eastAsia"/>
                <w:color w:val="000000"/>
                <w:sz w:val="24"/>
              </w:rPr>
              <w:t>项目建设地点位于</w:t>
            </w:r>
            <w:r>
              <w:rPr>
                <w:rFonts w:hint="eastAsia"/>
                <w:color w:val="000000"/>
                <w:sz w:val="24"/>
                <w:lang w:eastAsia="zh-CN"/>
              </w:rPr>
              <w:t>金坛经济开发区华城路1668号国际工业城5号楼北楼四层</w:t>
            </w:r>
            <w:r>
              <w:rPr>
                <w:rFonts w:hint="eastAsia"/>
                <w:color w:val="000000"/>
                <w:sz w:val="24"/>
              </w:rPr>
              <w:t>，根据苏（20</w:t>
            </w:r>
            <w:r>
              <w:rPr>
                <w:rFonts w:hint="eastAsia"/>
                <w:color w:val="000000"/>
                <w:sz w:val="24"/>
                <w:lang w:val="en-US" w:eastAsia="zh-CN"/>
              </w:rPr>
              <w:t>18</w:t>
            </w:r>
            <w:r>
              <w:rPr>
                <w:rFonts w:hint="eastAsia"/>
                <w:color w:val="000000"/>
                <w:sz w:val="24"/>
              </w:rPr>
              <w:t>）金坛区不动产权第00</w:t>
            </w:r>
            <w:r>
              <w:rPr>
                <w:rFonts w:hint="eastAsia"/>
                <w:color w:val="000000"/>
                <w:sz w:val="24"/>
                <w:lang w:val="en-US" w:eastAsia="zh-CN"/>
              </w:rPr>
              <w:t>51993</w:t>
            </w:r>
            <w:r>
              <w:rPr>
                <w:rFonts w:hint="eastAsia"/>
                <w:color w:val="000000"/>
                <w:sz w:val="24"/>
              </w:rPr>
              <w:t>号不动产权证，</w:t>
            </w:r>
            <w:r>
              <w:rPr>
                <w:rFonts w:hint="eastAsia"/>
                <w:color w:val="000000"/>
                <w:sz w:val="24"/>
                <w:lang w:val="en-US" w:eastAsia="zh-CN"/>
              </w:rPr>
              <w:t>华城路1668号国际工业城内</w:t>
            </w:r>
            <w:r>
              <w:rPr>
                <w:rFonts w:hint="eastAsia"/>
                <w:color w:val="000000"/>
                <w:sz w:val="24"/>
              </w:rPr>
              <w:t>地块的用途为工业用地；对照《金坛经济开发区控制性详细规划》土地利用规划图，本项目用地地块规划为工业用地。项目不属于</w:t>
            </w:r>
            <w:r>
              <w:rPr>
                <w:color w:val="000000"/>
                <w:sz w:val="24"/>
              </w:rPr>
              <w:t>《限制用地项目目录（2012年本）》、《禁止用地项目目录（2012年本）》、《江苏省限制用地项目目录（2013年本）》和《江苏省禁止用地项目目录（2013年本）中的项目</w:t>
            </w:r>
            <w:r>
              <w:rPr>
                <w:rFonts w:hint="eastAsia"/>
                <w:color w:val="000000"/>
                <w:sz w:val="24"/>
              </w:rPr>
              <w:t>，且项目周边范围内无矿床、文物古迹和军事设施达到环保准入、投入强度、消防安全等相关规定，因此项目选址合理。</w:t>
            </w:r>
          </w:p>
          <w:p>
            <w:pPr>
              <w:spacing w:line="360" w:lineRule="auto"/>
              <w:rPr>
                <w:b/>
                <w:bCs/>
                <w:color w:val="000000"/>
                <w:sz w:val="24"/>
              </w:rPr>
            </w:pPr>
            <w:r>
              <w:rPr>
                <w:rFonts w:hint="eastAsia"/>
                <w:b/>
                <w:bCs/>
                <w:color w:val="000000"/>
                <w:sz w:val="24"/>
              </w:rPr>
              <w:t>3、三线一单相符性</w:t>
            </w:r>
          </w:p>
          <w:p>
            <w:pPr>
              <w:spacing w:line="360" w:lineRule="auto"/>
              <w:ind w:firstLine="482" w:firstLineChars="200"/>
              <w:rPr>
                <w:b/>
                <w:bCs/>
                <w:color w:val="000000"/>
                <w:sz w:val="24"/>
              </w:rPr>
            </w:pPr>
            <w:r>
              <w:rPr>
                <w:rFonts w:hint="eastAsia"/>
                <w:b/>
                <w:bCs/>
                <w:color w:val="000000"/>
                <w:sz w:val="24"/>
              </w:rPr>
              <w:t>（1）生态红线</w:t>
            </w:r>
          </w:p>
          <w:p>
            <w:pPr>
              <w:spacing w:line="360" w:lineRule="auto"/>
              <w:ind w:firstLine="480" w:firstLineChars="200"/>
              <w:rPr>
                <w:color w:val="0000FF"/>
                <w:sz w:val="24"/>
              </w:rPr>
            </w:pPr>
            <w:r>
              <w:rPr>
                <w:color w:val="000000"/>
                <w:sz w:val="24"/>
              </w:rPr>
              <w:t>根据《省政府关于印发江苏省生态空间管控区域规划的通知》（苏政发[2020]1号）和《江苏省国家级生态保护红线规划》（苏政发[2018]74号），</w:t>
            </w:r>
            <w:r>
              <w:rPr>
                <w:rFonts w:hint="eastAsia"/>
                <w:color w:val="000000"/>
                <w:sz w:val="24"/>
              </w:rPr>
              <w:t>对照江苏省生态空间保护区域分布图，项目建设区域与国家级生态保护红线范围及江苏省生态空间管控区域范围均无交集，不涉及金坛区内的生态红线区域，不会导致金坛区辖区内生态红线区域服务功能下降，故本项目的建设符合《江苏省生态空间管控区域规划》（苏政发[2020]1号）和《江苏省国家级生态保护红线规划》（苏政发[2018]74号）相关要求。</w:t>
            </w:r>
          </w:p>
          <w:p>
            <w:pPr>
              <w:pStyle w:val="8"/>
              <w:adjustRightInd w:val="0"/>
              <w:snapToGrid w:val="0"/>
              <w:spacing w:line="360" w:lineRule="auto"/>
              <w:ind w:firstLine="482" w:firstLineChars="200"/>
              <w:rPr>
                <w:rFonts w:ascii="Times New Roman" w:hAnsi="Times New Roman" w:eastAsia="宋体"/>
                <w:b/>
                <w:bCs/>
                <w:color w:val="000000"/>
              </w:rPr>
            </w:pPr>
            <w:r>
              <w:rPr>
                <w:rFonts w:ascii="Times New Roman" w:hAnsi="Times New Roman" w:eastAsia="宋体"/>
                <w:b/>
                <w:bCs/>
                <w:color w:val="000000"/>
              </w:rPr>
              <w:t>（2）</w:t>
            </w:r>
            <w:r>
              <w:rPr>
                <w:rFonts w:hint="eastAsia" w:ascii="Times New Roman" w:hAnsi="Times New Roman" w:eastAsia="宋体"/>
                <w:b/>
                <w:bCs/>
                <w:color w:val="000000"/>
              </w:rPr>
              <w:t>环境质量底线</w:t>
            </w:r>
          </w:p>
          <w:p>
            <w:pPr>
              <w:spacing w:line="360" w:lineRule="auto"/>
              <w:ind w:firstLine="480" w:firstLineChars="200"/>
              <w:rPr>
                <w:color w:val="000000"/>
                <w:sz w:val="24"/>
                <w:lang w:val="zh-TW"/>
              </w:rPr>
            </w:pPr>
            <w:r>
              <w:rPr>
                <w:rFonts w:hint="eastAsia"/>
                <w:color w:val="000000"/>
                <w:sz w:val="24"/>
              </w:rPr>
              <w:t>环境空气：根据《2020年常州市生态环境状况公报》，</w:t>
            </w:r>
            <w:r>
              <w:rPr>
                <w:color w:val="000000"/>
                <w:sz w:val="24"/>
                <w:lang w:val="zh-TW"/>
              </w:rPr>
              <w:t>20</w:t>
            </w:r>
            <w:r>
              <w:rPr>
                <w:color w:val="000000"/>
                <w:sz w:val="24"/>
              </w:rPr>
              <w:t>20</w:t>
            </w:r>
            <w:r>
              <w:rPr>
                <w:rFonts w:hint="eastAsia"/>
                <w:color w:val="000000"/>
                <w:sz w:val="24"/>
                <w:lang w:val="zh-TW"/>
              </w:rPr>
              <w:t>年常州全市空气质量较201</w:t>
            </w:r>
            <w:r>
              <w:rPr>
                <w:color w:val="000000"/>
                <w:sz w:val="24"/>
              </w:rPr>
              <w:t>9</w:t>
            </w:r>
            <w:r>
              <w:rPr>
                <w:rFonts w:hint="eastAsia"/>
                <w:color w:val="000000"/>
                <w:sz w:val="24"/>
                <w:lang w:val="zh-TW"/>
              </w:rPr>
              <w:t>年总体改善。全市空气质量优良天数为</w:t>
            </w:r>
            <w:r>
              <w:rPr>
                <w:color w:val="000000"/>
                <w:sz w:val="24"/>
              </w:rPr>
              <w:t>295</w:t>
            </w:r>
            <w:r>
              <w:rPr>
                <w:rFonts w:hint="eastAsia"/>
                <w:color w:val="000000"/>
                <w:sz w:val="24"/>
                <w:lang w:val="zh-TW"/>
              </w:rPr>
              <w:t>天，优良率</w:t>
            </w:r>
            <w:r>
              <w:rPr>
                <w:color w:val="000000"/>
                <w:sz w:val="24"/>
              </w:rPr>
              <w:t>80.6%</w:t>
            </w:r>
            <w:r>
              <w:rPr>
                <w:rFonts w:hint="eastAsia"/>
                <w:color w:val="000000"/>
                <w:sz w:val="24"/>
              </w:rPr>
              <w:t>；</w:t>
            </w:r>
            <w:r>
              <w:rPr>
                <w:rFonts w:hint="eastAsia"/>
                <w:color w:val="000000"/>
                <w:sz w:val="24"/>
                <w:lang w:val="zh-TW"/>
              </w:rPr>
              <w:t>全市六项污染物指标中，二氧化硫、二氧化氮、可吸入颗粒物和细颗粒物年平均浓度分别为：</w:t>
            </w:r>
            <w:r>
              <w:rPr>
                <w:color w:val="000000"/>
                <w:sz w:val="24"/>
              </w:rPr>
              <w:t>9</w:t>
            </w:r>
            <w:r>
              <w:rPr>
                <w:color w:val="000000"/>
                <w:sz w:val="24"/>
                <w:lang w:val="zh-TW"/>
              </w:rPr>
              <w:t>μ</w:t>
            </w:r>
            <w:r>
              <w:rPr>
                <w:color w:val="000000"/>
                <w:sz w:val="24"/>
              </w:rPr>
              <w:t>g</w:t>
            </w:r>
            <w:r>
              <w:rPr>
                <w:color w:val="000000"/>
                <w:sz w:val="24"/>
                <w:lang w:val="zh-TW"/>
              </w:rPr>
              <w:t>/</w:t>
            </w:r>
            <w:r>
              <w:rPr>
                <w:color w:val="000000"/>
                <w:sz w:val="24"/>
              </w:rPr>
              <w:t>m</w:t>
            </w:r>
            <w:r>
              <w:rPr>
                <w:color w:val="000000"/>
                <w:sz w:val="24"/>
                <w:vertAlign w:val="superscript"/>
              </w:rPr>
              <w:t>3</w:t>
            </w:r>
            <w:r>
              <w:rPr>
                <w:rFonts w:hint="eastAsia"/>
                <w:color w:val="000000"/>
                <w:sz w:val="24"/>
                <w:lang w:val="zh-TW"/>
              </w:rPr>
              <w:t>、3</w:t>
            </w:r>
            <w:r>
              <w:rPr>
                <w:color w:val="000000"/>
                <w:sz w:val="24"/>
              </w:rPr>
              <w:t>5</w:t>
            </w:r>
            <w:r>
              <w:rPr>
                <w:color w:val="000000"/>
                <w:sz w:val="24"/>
                <w:lang w:val="zh-TW"/>
              </w:rPr>
              <w:t>μ</w:t>
            </w:r>
            <w:r>
              <w:rPr>
                <w:color w:val="000000"/>
                <w:sz w:val="24"/>
              </w:rPr>
              <w:t>g</w:t>
            </w:r>
            <w:r>
              <w:rPr>
                <w:color w:val="000000"/>
                <w:sz w:val="24"/>
                <w:lang w:val="zh-TW"/>
              </w:rPr>
              <w:t>/</w:t>
            </w:r>
            <w:r>
              <w:rPr>
                <w:color w:val="000000"/>
                <w:sz w:val="24"/>
              </w:rPr>
              <w:t>m</w:t>
            </w:r>
            <w:r>
              <w:rPr>
                <w:color w:val="000000"/>
                <w:sz w:val="24"/>
                <w:vertAlign w:val="superscript"/>
              </w:rPr>
              <w:t>3</w:t>
            </w:r>
            <w:r>
              <w:rPr>
                <w:rFonts w:hint="eastAsia"/>
                <w:color w:val="000000"/>
                <w:sz w:val="24"/>
                <w:lang w:val="zh-TW"/>
              </w:rPr>
              <w:t>、6</w:t>
            </w:r>
            <w:r>
              <w:rPr>
                <w:color w:val="000000"/>
                <w:sz w:val="24"/>
              </w:rPr>
              <w:t>1</w:t>
            </w:r>
            <w:r>
              <w:rPr>
                <w:color w:val="000000"/>
                <w:sz w:val="24"/>
                <w:lang w:val="zh-TW"/>
              </w:rPr>
              <w:t>μ</w:t>
            </w:r>
            <w:r>
              <w:rPr>
                <w:color w:val="000000"/>
                <w:sz w:val="24"/>
              </w:rPr>
              <w:t>g</w:t>
            </w:r>
            <w:r>
              <w:rPr>
                <w:color w:val="000000"/>
                <w:sz w:val="24"/>
                <w:lang w:val="zh-TW"/>
              </w:rPr>
              <w:t>/</w:t>
            </w:r>
            <w:r>
              <w:rPr>
                <w:color w:val="000000"/>
                <w:sz w:val="24"/>
              </w:rPr>
              <w:t>m</w:t>
            </w:r>
            <w:r>
              <w:rPr>
                <w:color w:val="000000"/>
                <w:sz w:val="24"/>
                <w:vertAlign w:val="superscript"/>
              </w:rPr>
              <w:t>3</w:t>
            </w:r>
            <w:r>
              <w:rPr>
                <w:rFonts w:hint="eastAsia"/>
                <w:color w:val="000000"/>
                <w:sz w:val="24"/>
                <w:lang w:val="zh-TW"/>
              </w:rPr>
              <w:t>和</w:t>
            </w:r>
            <w:r>
              <w:rPr>
                <w:color w:val="000000"/>
                <w:sz w:val="24"/>
              </w:rPr>
              <w:t>39</w:t>
            </w:r>
            <w:r>
              <w:rPr>
                <w:color w:val="000000"/>
                <w:sz w:val="24"/>
                <w:lang w:val="zh-TW"/>
              </w:rPr>
              <w:t>μ</w:t>
            </w:r>
            <w:r>
              <w:rPr>
                <w:color w:val="000000"/>
                <w:sz w:val="24"/>
              </w:rPr>
              <w:t>g</w:t>
            </w:r>
            <w:r>
              <w:rPr>
                <w:color w:val="000000"/>
                <w:sz w:val="24"/>
                <w:lang w:val="zh-TW"/>
              </w:rPr>
              <w:t>/</w:t>
            </w:r>
            <w:r>
              <w:rPr>
                <w:color w:val="000000"/>
                <w:sz w:val="24"/>
              </w:rPr>
              <w:t>m</w:t>
            </w:r>
            <w:r>
              <w:rPr>
                <w:color w:val="000000"/>
                <w:sz w:val="24"/>
                <w:vertAlign w:val="superscript"/>
              </w:rPr>
              <w:t>3</w:t>
            </w:r>
            <w:r>
              <w:rPr>
                <w:rFonts w:hint="eastAsia"/>
                <w:color w:val="000000"/>
                <w:sz w:val="24"/>
                <w:lang w:val="zh-TW"/>
              </w:rPr>
              <w:t>，一氧化碳日均值的第</w:t>
            </w:r>
            <w:r>
              <w:rPr>
                <w:color w:val="000000"/>
                <w:sz w:val="24"/>
              </w:rPr>
              <w:t>95</w:t>
            </w:r>
            <w:r>
              <w:rPr>
                <w:rFonts w:hint="eastAsia"/>
                <w:color w:val="000000"/>
                <w:sz w:val="24"/>
              </w:rPr>
              <w:t>位百分数</w:t>
            </w:r>
            <w:r>
              <w:rPr>
                <w:rFonts w:hint="eastAsia"/>
                <w:color w:val="000000"/>
                <w:sz w:val="24"/>
                <w:lang w:val="zh-TW"/>
              </w:rPr>
              <w:t>浓度为1.2</w:t>
            </w:r>
            <w:r>
              <w:rPr>
                <w:color w:val="000000"/>
                <w:sz w:val="24"/>
              </w:rPr>
              <w:t>mg</w:t>
            </w:r>
            <w:r>
              <w:rPr>
                <w:color w:val="000000"/>
                <w:sz w:val="24"/>
                <w:lang w:val="zh-TW"/>
              </w:rPr>
              <w:t>/</w:t>
            </w:r>
            <w:r>
              <w:rPr>
                <w:color w:val="000000"/>
                <w:sz w:val="24"/>
              </w:rPr>
              <w:t>m</w:t>
            </w:r>
            <w:r>
              <w:rPr>
                <w:color w:val="000000"/>
                <w:sz w:val="24"/>
                <w:vertAlign w:val="superscript"/>
              </w:rPr>
              <w:t>3</w:t>
            </w:r>
            <w:r>
              <w:rPr>
                <w:rFonts w:hint="eastAsia"/>
                <w:color w:val="000000"/>
                <w:sz w:val="24"/>
              </w:rPr>
              <w:t>，臭氧日最大8小时滑动平均值的第90位百分数浓度为167</w:t>
            </w:r>
            <w:r>
              <w:rPr>
                <w:color w:val="000000"/>
                <w:sz w:val="24"/>
                <w:lang w:val="zh-TW"/>
              </w:rPr>
              <w:t>μ</w:t>
            </w:r>
            <w:r>
              <w:rPr>
                <w:color w:val="000000"/>
                <w:sz w:val="24"/>
              </w:rPr>
              <w:t>g</w:t>
            </w:r>
            <w:r>
              <w:rPr>
                <w:color w:val="000000"/>
                <w:sz w:val="24"/>
                <w:lang w:val="zh-TW"/>
              </w:rPr>
              <w:t>/</w:t>
            </w:r>
            <w:r>
              <w:rPr>
                <w:color w:val="000000"/>
                <w:sz w:val="24"/>
              </w:rPr>
              <w:t>m</w:t>
            </w:r>
            <w:r>
              <w:rPr>
                <w:color w:val="000000"/>
                <w:sz w:val="24"/>
                <w:vertAlign w:val="superscript"/>
              </w:rPr>
              <w:t>3</w:t>
            </w:r>
            <w:r>
              <w:rPr>
                <w:rFonts w:hint="eastAsia"/>
                <w:color w:val="000000"/>
                <w:sz w:val="24"/>
                <w:lang w:val="zh-TW"/>
              </w:rPr>
              <w:t>。</w:t>
            </w:r>
          </w:p>
          <w:p>
            <w:pPr>
              <w:spacing w:line="360" w:lineRule="auto"/>
              <w:ind w:firstLine="480" w:firstLineChars="200"/>
              <w:rPr>
                <w:color w:val="000000"/>
                <w:sz w:val="24"/>
              </w:rPr>
            </w:pPr>
            <w:r>
              <w:rPr>
                <w:color w:val="000000"/>
                <w:sz w:val="24"/>
              </w:rPr>
              <w:t>PM</w:t>
            </w:r>
            <w:r>
              <w:rPr>
                <w:color w:val="000000"/>
                <w:sz w:val="24"/>
                <w:vertAlign w:val="subscript"/>
              </w:rPr>
              <w:t>2.5</w:t>
            </w:r>
            <w:r>
              <w:rPr>
                <w:rFonts w:hint="eastAsia"/>
                <w:color w:val="000000"/>
                <w:sz w:val="24"/>
              </w:rPr>
              <w:t>的年平均质量浓度以及臭氧的日最大8小时滑动平均值的第90百分位数略有超标。总体而言，</w:t>
            </w:r>
            <w:r>
              <w:rPr>
                <w:rFonts w:hint="eastAsia"/>
                <w:color w:val="000000"/>
                <w:sz w:val="24"/>
                <w:lang w:val="zh-TW"/>
              </w:rPr>
              <w:t>影响环境空气质量的主要因子仍为细颗粒物，</w:t>
            </w:r>
            <w:r>
              <w:rPr>
                <w:rFonts w:hint="eastAsia"/>
                <w:color w:val="000000"/>
                <w:sz w:val="24"/>
              </w:rPr>
              <w:t>项目所在区域2020年环境空气质量不达标。</w:t>
            </w:r>
          </w:p>
          <w:p>
            <w:pPr>
              <w:spacing w:line="360" w:lineRule="auto"/>
              <w:ind w:firstLine="480" w:firstLineChars="200"/>
              <w:rPr>
                <w:color w:val="000000"/>
                <w:sz w:val="24"/>
              </w:rPr>
            </w:pPr>
            <w:r>
              <w:rPr>
                <w:rFonts w:hint="eastAsia"/>
                <w:color w:val="000000"/>
                <w:sz w:val="24"/>
              </w:rPr>
              <w:t>根据《2020年金坛经济开发区打好污染防治攻坚战工作方案》，通过加强重点行业治理改造，严格管控各类扬尘、深化VOCs专项治理、加强秸秆禁烧和综合利用、加强面源污染控制和加强重污染天气防范应对等污染防治措施，大气环境质量状况可以得到进一步改善。</w:t>
            </w:r>
          </w:p>
          <w:p>
            <w:pPr>
              <w:pStyle w:val="42"/>
              <w:spacing w:after="0" w:line="360" w:lineRule="auto"/>
              <w:ind w:firstLine="480" w:firstLineChars="200"/>
              <w:jc w:val="both"/>
              <w:rPr>
                <w:rFonts w:ascii="Times New Roman" w:cs="Times New Roman"/>
                <w:kern w:val="2"/>
              </w:rPr>
            </w:pPr>
            <w:r>
              <w:rPr>
                <w:rFonts w:hint="eastAsia" w:ascii="Times New Roman" w:cs="Times New Roman"/>
                <w:kern w:val="2"/>
              </w:rPr>
              <w:t>水环境：本项目污水受纳水体尧塘河2个断面各监测因子均能满足《地表水环境质量标准》（GB3838-2002）IV类水标准要求。</w:t>
            </w:r>
          </w:p>
          <w:p>
            <w:pPr>
              <w:pStyle w:val="42"/>
              <w:spacing w:after="0" w:line="360" w:lineRule="auto"/>
              <w:ind w:firstLine="480" w:firstLineChars="200"/>
              <w:jc w:val="both"/>
              <w:rPr>
                <w:rFonts w:ascii="Times New Roman" w:cs="Times New Roman"/>
                <w:kern w:val="2"/>
                <w:highlight w:val="yellow"/>
              </w:rPr>
            </w:pPr>
            <w:r>
              <w:rPr>
                <w:rFonts w:hint="eastAsia" w:ascii="Times New Roman" w:cs="Times New Roman"/>
                <w:kern w:val="2"/>
              </w:rPr>
              <w:t>声环境：</w:t>
            </w:r>
            <w:r>
              <w:rPr>
                <w:rFonts w:hint="eastAsia" w:ascii="Times New Roman" w:cs="Times New Roman"/>
                <w:kern w:val="2"/>
                <w:highlight w:val="none"/>
              </w:rPr>
              <w:t>建设项目所在地各厂界处昼</w:t>
            </w:r>
            <w:r>
              <w:rPr>
                <w:rFonts w:hint="eastAsia" w:ascii="Times New Roman" w:cs="Times New Roman"/>
                <w:kern w:val="2"/>
                <w:highlight w:val="none"/>
                <w:lang w:eastAsia="zh-CN"/>
              </w:rPr>
              <w:t>夜</w:t>
            </w:r>
            <w:r>
              <w:rPr>
                <w:rFonts w:hint="eastAsia" w:ascii="Times New Roman" w:cs="Times New Roman"/>
                <w:kern w:val="2"/>
                <w:highlight w:val="none"/>
              </w:rPr>
              <w:t>间声环境质量监测结果符合《声环境质量标准》（GB3096-2008）中的2类区限值要求。</w:t>
            </w:r>
          </w:p>
          <w:p>
            <w:pPr>
              <w:pStyle w:val="43"/>
              <w:adjustRightInd/>
              <w:snapToGrid/>
              <w:ind w:firstLine="480"/>
              <w:jc w:val="both"/>
              <w:rPr>
                <w:color w:val="000000"/>
                <w:kern w:val="2"/>
              </w:rPr>
            </w:pPr>
            <w:r>
              <w:rPr>
                <w:rFonts w:hint="eastAsia"/>
                <w:color w:val="000000"/>
                <w:kern w:val="2"/>
              </w:rPr>
              <w:t>该项目运营过程中会产生一定的污染物，如污水、固废，采取相应的污染防治措施后，在达标的基础上选用处理效率和可靠性高的处理工艺。设备生产噪声在采取隔声、减振措施后厂界可达标；</w:t>
            </w:r>
            <w:r>
              <w:rPr>
                <w:rFonts w:hint="eastAsia"/>
                <w:color w:val="000000"/>
                <w:kern w:val="2"/>
                <w:highlight w:val="none"/>
              </w:rPr>
              <w:t>污水</w:t>
            </w:r>
            <w:r>
              <w:rPr>
                <w:rFonts w:hint="eastAsia"/>
                <w:color w:val="000000"/>
                <w:kern w:val="2"/>
              </w:rPr>
              <w:t>接管至金坛区第二污水处理厂集中处理；固体废物均按照要求委托相关单位进行妥善处置。上述措施确保拟建项目污染物排放对环境的影响降到最低，不会突破环境质量底线，改变区域环境功能区。</w:t>
            </w:r>
          </w:p>
          <w:p>
            <w:pPr>
              <w:adjustRightInd w:val="0"/>
              <w:snapToGrid w:val="0"/>
              <w:spacing w:line="360" w:lineRule="auto"/>
              <w:ind w:firstLine="482" w:firstLineChars="200"/>
              <w:rPr>
                <w:b/>
                <w:bCs/>
                <w:color w:val="000000"/>
                <w:sz w:val="24"/>
              </w:rPr>
            </w:pPr>
            <w:r>
              <w:rPr>
                <w:rFonts w:hint="eastAsia"/>
                <w:b/>
                <w:bCs/>
                <w:color w:val="000000"/>
                <w:sz w:val="24"/>
              </w:rPr>
              <w:t>（3）资源利用上线</w:t>
            </w:r>
          </w:p>
          <w:p>
            <w:pPr>
              <w:pStyle w:val="8"/>
              <w:adjustRightInd w:val="0"/>
              <w:snapToGrid w:val="0"/>
              <w:spacing w:line="360" w:lineRule="auto"/>
              <w:ind w:firstLine="480" w:firstLineChars="200"/>
              <w:rPr>
                <w:rFonts w:ascii="Times New Roman" w:hAnsi="Times New Roman" w:eastAsia="宋体"/>
                <w:color w:val="000000"/>
              </w:rPr>
            </w:pPr>
            <w:r>
              <w:rPr>
                <w:rFonts w:ascii="Times New Roman" w:hAnsi="Times New Roman" w:eastAsia="宋体"/>
                <w:color w:val="000000"/>
              </w:rPr>
              <w:t>本项目主要从事</w:t>
            </w:r>
            <w:r>
              <w:rPr>
                <w:rFonts w:hint="eastAsia" w:ascii="Times New Roman" w:hAnsi="Times New Roman" w:eastAsia="宋体"/>
                <w:color w:val="000000"/>
                <w:lang w:val="en-US" w:eastAsia="zh-CN"/>
              </w:rPr>
              <w:t>其他医疗设备及器械制造</w:t>
            </w:r>
            <w:r>
              <w:rPr>
                <w:rFonts w:ascii="Times New Roman" w:hAnsi="Times New Roman" w:eastAsia="宋体"/>
                <w:color w:val="000000"/>
              </w:rPr>
              <w:t>，运营过程中用水主要为生活用水</w:t>
            </w:r>
            <w:r>
              <w:rPr>
                <w:rFonts w:hint="eastAsia" w:ascii="Times New Roman" w:hAnsi="Times New Roman" w:eastAsia="宋体"/>
                <w:color w:val="000000"/>
                <w:lang w:eastAsia="zh-CN"/>
              </w:rPr>
              <w:t>、</w:t>
            </w:r>
            <w:r>
              <w:rPr>
                <w:rFonts w:hint="eastAsia" w:ascii="Times New Roman" w:hAnsi="Times New Roman" w:eastAsia="宋体"/>
                <w:color w:val="000000"/>
                <w:lang w:val="en-US" w:eastAsia="zh-CN"/>
              </w:rPr>
              <w:t>纯水制备用水</w:t>
            </w:r>
            <w:r>
              <w:rPr>
                <w:rFonts w:hint="eastAsia" w:ascii="Times New Roman" w:hAnsi="Times New Roman" w:eastAsia="宋体"/>
                <w:color w:val="000000"/>
                <w:lang w:eastAsia="zh-CN"/>
              </w:rPr>
              <w:t>、</w:t>
            </w:r>
            <w:r>
              <w:rPr>
                <w:rFonts w:hint="eastAsia" w:ascii="Times New Roman" w:hAnsi="Times New Roman" w:eastAsia="宋体"/>
                <w:color w:val="000000"/>
                <w:lang w:val="en-US" w:eastAsia="zh-CN"/>
              </w:rPr>
              <w:t>清洗</w:t>
            </w:r>
            <w:r>
              <w:rPr>
                <w:rFonts w:hint="eastAsia" w:ascii="Times New Roman" w:hAnsi="Times New Roman" w:eastAsia="宋体"/>
                <w:color w:val="000000"/>
              </w:rPr>
              <w:t>用水</w:t>
            </w:r>
            <w:r>
              <w:rPr>
                <w:rFonts w:hint="eastAsia" w:ascii="Times New Roman" w:hAnsi="Times New Roman" w:eastAsia="宋体"/>
                <w:color w:val="000000"/>
                <w:lang w:eastAsia="zh-CN"/>
              </w:rPr>
              <w:t>、</w:t>
            </w:r>
            <w:r>
              <w:rPr>
                <w:rFonts w:hint="eastAsia" w:ascii="Times New Roman" w:hAnsi="Times New Roman" w:eastAsia="宋体"/>
                <w:color w:val="000000"/>
                <w:lang w:val="en-US" w:eastAsia="zh-CN"/>
              </w:rPr>
              <w:t>研磨用水</w:t>
            </w:r>
            <w:r>
              <w:rPr>
                <w:rFonts w:ascii="Times New Roman" w:hAnsi="Times New Roman" w:eastAsia="宋体"/>
                <w:color w:val="000000"/>
              </w:rPr>
              <w:t>，由当地市政管网供给</w:t>
            </w:r>
            <w:r>
              <w:rPr>
                <w:rFonts w:hint="eastAsia" w:ascii="Times New Roman" w:hAnsi="Times New Roman" w:eastAsia="宋体"/>
                <w:color w:val="000000"/>
              </w:rPr>
              <w:t>；</w:t>
            </w:r>
            <w:r>
              <w:rPr>
                <w:rFonts w:ascii="Times New Roman" w:hAnsi="Times New Roman" w:eastAsia="宋体"/>
                <w:color w:val="000000"/>
              </w:rPr>
              <w:t>用电由当地</w:t>
            </w:r>
            <w:r>
              <w:rPr>
                <w:rFonts w:hint="eastAsia" w:ascii="Times New Roman" w:hAnsi="Times New Roman" w:eastAsia="宋体"/>
                <w:color w:val="000000"/>
              </w:rPr>
              <w:t>市政供电</w:t>
            </w:r>
            <w:r>
              <w:rPr>
                <w:rFonts w:ascii="Times New Roman" w:hAnsi="Times New Roman" w:eastAsia="宋体"/>
                <w:color w:val="000000"/>
              </w:rPr>
              <w:t>统一供应</w:t>
            </w:r>
            <w:r>
              <w:rPr>
                <w:rFonts w:hint="eastAsia" w:ascii="Times New Roman" w:hAnsi="Times New Roman" w:eastAsia="宋体"/>
                <w:color w:val="000000"/>
              </w:rPr>
              <w:t>；</w:t>
            </w:r>
            <w:r>
              <w:rPr>
                <w:rFonts w:ascii="Times New Roman" w:hAnsi="Times New Roman" w:eastAsia="宋体"/>
                <w:color w:val="000000"/>
              </w:rPr>
              <w:t>项目用地为工业用地，不占用新的土地资源，本项目不会突破当地资源利用上线。</w:t>
            </w:r>
          </w:p>
          <w:p>
            <w:pPr>
              <w:pStyle w:val="8"/>
              <w:adjustRightInd w:val="0"/>
              <w:snapToGrid w:val="0"/>
              <w:spacing w:line="360" w:lineRule="auto"/>
              <w:ind w:firstLine="482" w:firstLineChars="200"/>
              <w:rPr>
                <w:rFonts w:ascii="Times New Roman" w:hAnsi="Times New Roman" w:eastAsia="宋体"/>
                <w:b/>
                <w:bCs/>
                <w:color w:val="000000"/>
              </w:rPr>
            </w:pPr>
            <w:r>
              <w:rPr>
                <w:rFonts w:hint="eastAsia" w:ascii="Times New Roman" w:hAnsi="Times New Roman" w:eastAsia="宋体"/>
                <w:b/>
                <w:bCs/>
                <w:color w:val="000000"/>
              </w:rPr>
              <w:t>（4）环境准入负面清单</w:t>
            </w:r>
          </w:p>
          <w:p>
            <w:pPr>
              <w:adjustRightInd w:val="0"/>
              <w:snapToGrid w:val="0"/>
              <w:spacing w:line="360" w:lineRule="auto"/>
              <w:ind w:firstLine="480" w:firstLineChars="200"/>
              <w:rPr>
                <w:color w:val="0000FF"/>
                <w:sz w:val="24"/>
              </w:rPr>
            </w:pPr>
            <w:r>
              <w:rPr>
                <w:color w:val="000000"/>
                <w:sz w:val="24"/>
              </w:rPr>
              <w:t>金坛区尚未颁布环境准入负面清单，本次环评对照国家、地方相关产业政策、市场准入负面清单（</w:t>
            </w:r>
            <w:r>
              <w:rPr>
                <w:rFonts w:hint="eastAsia"/>
                <w:color w:val="000000"/>
                <w:sz w:val="24"/>
                <w:lang w:val="en-US" w:eastAsia="zh-CN"/>
              </w:rPr>
              <w:t>2020</w:t>
            </w:r>
            <w:r>
              <w:rPr>
                <w:color w:val="000000"/>
                <w:sz w:val="24"/>
              </w:rPr>
              <w:t>年版）、长江经济带发展负面清单指南（试行）负面清单等文件分析。详见表</w:t>
            </w:r>
            <w:r>
              <w:rPr>
                <w:rFonts w:hint="eastAsia"/>
                <w:color w:val="000000"/>
                <w:sz w:val="24"/>
              </w:rPr>
              <w:t>1-3、表1-4及表1-5</w:t>
            </w:r>
            <w:r>
              <w:rPr>
                <w:color w:val="000000"/>
                <w:sz w:val="24"/>
              </w:rPr>
              <w:t>。</w:t>
            </w:r>
          </w:p>
          <w:p>
            <w:pPr>
              <w:pStyle w:val="8"/>
              <w:adjustRightInd w:val="0"/>
              <w:snapToGrid w:val="0"/>
              <w:jc w:val="center"/>
              <w:rPr>
                <w:rFonts w:ascii="Times New Roman" w:hAnsi="Times New Roman" w:eastAsia="宋体"/>
                <w:b/>
                <w:bCs/>
                <w:color w:val="000000"/>
              </w:rPr>
            </w:pPr>
            <w:r>
              <w:rPr>
                <w:rFonts w:hint="eastAsia" w:ascii="Times New Roman" w:hAnsi="Times New Roman" w:eastAsia="宋体"/>
                <w:b/>
                <w:bCs/>
                <w:color w:val="000000"/>
              </w:rPr>
              <w:t>表1-3  环境准入负面清单</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89"/>
              <w:gridCol w:w="5994"/>
              <w:gridCol w:w="9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tcBorders>
                    <w:top w:val="single" w:color="auto" w:sz="12" w:space="0"/>
                    <w:left w:val="nil"/>
                    <w:bottom w:val="single" w:color="auto" w:sz="4" w:space="0"/>
                    <w:right w:val="single" w:color="auto" w:sz="4" w:space="0"/>
                  </w:tcBorders>
                  <w:noWrap w:val="0"/>
                  <w:vAlign w:val="center"/>
                </w:tcPr>
                <w:p>
                  <w:pPr>
                    <w:snapToGrid w:val="0"/>
                    <w:ind w:right="63" w:rightChars="30"/>
                    <w:jc w:val="center"/>
                    <w:rPr>
                      <w:b/>
                      <w:bCs/>
                      <w:color w:val="000000"/>
                      <w:szCs w:val="21"/>
                    </w:rPr>
                  </w:pPr>
                  <w:r>
                    <w:rPr>
                      <w:b/>
                      <w:bCs/>
                      <w:color w:val="000000"/>
                      <w:szCs w:val="21"/>
                    </w:rPr>
                    <w:t>序号</w:t>
                  </w:r>
                </w:p>
              </w:tc>
              <w:tc>
                <w:tcPr>
                  <w:tcW w:w="3961" w:type="pct"/>
                  <w:tcBorders>
                    <w:top w:val="single" w:color="auto" w:sz="12" w:space="0"/>
                    <w:left w:val="single" w:color="auto" w:sz="4" w:space="0"/>
                    <w:bottom w:val="single" w:color="auto" w:sz="4" w:space="0"/>
                    <w:right w:val="single" w:color="auto" w:sz="4" w:space="0"/>
                  </w:tcBorders>
                  <w:noWrap w:val="0"/>
                  <w:vAlign w:val="center"/>
                </w:tcPr>
                <w:p>
                  <w:pPr>
                    <w:snapToGrid w:val="0"/>
                    <w:ind w:right="63" w:rightChars="30"/>
                    <w:jc w:val="center"/>
                    <w:rPr>
                      <w:b/>
                      <w:bCs/>
                      <w:color w:val="000000"/>
                      <w:szCs w:val="21"/>
                    </w:rPr>
                  </w:pPr>
                  <w:r>
                    <w:rPr>
                      <w:b/>
                      <w:bCs/>
                      <w:color w:val="000000"/>
                      <w:szCs w:val="21"/>
                    </w:rPr>
                    <w:t>法律、法规、政策文件等</w:t>
                  </w:r>
                </w:p>
              </w:tc>
              <w:tc>
                <w:tcPr>
                  <w:tcW w:w="647" w:type="pct"/>
                  <w:tcBorders>
                    <w:top w:val="single" w:color="auto" w:sz="12" w:space="0"/>
                    <w:left w:val="single" w:color="auto" w:sz="4" w:space="0"/>
                    <w:bottom w:val="single" w:color="auto" w:sz="4" w:space="0"/>
                    <w:right w:val="nil"/>
                  </w:tcBorders>
                  <w:noWrap w:val="0"/>
                  <w:vAlign w:val="center"/>
                </w:tcPr>
                <w:p>
                  <w:pPr>
                    <w:snapToGrid w:val="0"/>
                    <w:ind w:right="63" w:rightChars="30"/>
                    <w:jc w:val="center"/>
                    <w:rPr>
                      <w:b/>
                      <w:bCs/>
                      <w:color w:val="000000"/>
                      <w:szCs w:val="21"/>
                    </w:rPr>
                  </w:pPr>
                  <w:r>
                    <w:rPr>
                      <w:b/>
                      <w:bCs/>
                      <w:color w:val="000000"/>
                      <w:szCs w:val="21"/>
                    </w:rPr>
                    <w:t>是否属于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tcBorders>
                    <w:top w:val="single" w:color="auto" w:sz="4" w:space="0"/>
                    <w:left w:val="nil"/>
                    <w:bottom w:val="single" w:color="auto" w:sz="4" w:space="0"/>
                    <w:right w:val="single" w:color="auto" w:sz="4" w:space="0"/>
                  </w:tcBorders>
                  <w:noWrap w:val="0"/>
                  <w:vAlign w:val="center"/>
                </w:tcPr>
                <w:p>
                  <w:pPr>
                    <w:snapToGrid w:val="0"/>
                    <w:ind w:right="63" w:rightChars="30"/>
                    <w:jc w:val="center"/>
                    <w:rPr>
                      <w:bCs/>
                      <w:color w:val="000000"/>
                      <w:szCs w:val="21"/>
                    </w:rPr>
                  </w:pPr>
                  <w:r>
                    <w:rPr>
                      <w:bCs/>
                      <w:color w:val="000000"/>
                      <w:szCs w:val="21"/>
                    </w:rPr>
                    <w:t>1</w:t>
                  </w:r>
                </w:p>
              </w:tc>
              <w:tc>
                <w:tcPr>
                  <w:tcW w:w="3961" w:type="pct"/>
                  <w:tcBorders>
                    <w:top w:val="single" w:color="auto" w:sz="4" w:space="0"/>
                    <w:left w:val="single" w:color="auto" w:sz="4" w:space="0"/>
                    <w:bottom w:val="single" w:color="auto" w:sz="4" w:space="0"/>
                    <w:right w:val="single" w:color="auto" w:sz="4" w:space="0"/>
                  </w:tcBorders>
                  <w:noWrap w:val="0"/>
                  <w:vAlign w:val="center"/>
                </w:tcPr>
                <w:p>
                  <w:pPr>
                    <w:snapToGrid w:val="0"/>
                    <w:ind w:right="63" w:rightChars="30"/>
                    <w:jc w:val="center"/>
                    <w:rPr>
                      <w:bCs/>
                      <w:color w:val="000000"/>
                      <w:szCs w:val="21"/>
                    </w:rPr>
                  </w:pPr>
                  <w:r>
                    <w:rPr>
                      <w:bCs/>
                      <w:color w:val="000000"/>
                      <w:szCs w:val="21"/>
                    </w:rPr>
                    <w:t>属于《</w:t>
                  </w:r>
                  <w:r>
                    <w:rPr>
                      <w:color w:val="000000"/>
                      <w:szCs w:val="21"/>
                    </w:rPr>
                    <w:t>江苏省生态空间保护区域</w:t>
                  </w:r>
                  <w:r>
                    <w:rPr>
                      <w:rFonts w:hint="eastAsia"/>
                      <w:color w:val="000000"/>
                      <w:szCs w:val="21"/>
                    </w:rPr>
                    <w:t>规划</w:t>
                  </w:r>
                  <w:r>
                    <w:rPr>
                      <w:bCs/>
                      <w:color w:val="000000"/>
                      <w:szCs w:val="21"/>
                    </w:rPr>
                    <w:t>》中规定的位于</w:t>
                  </w:r>
                  <w:r>
                    <w:rPr>
                      <w:color w:val="000000"/>
                      <w:szCs w:val="21"/>
                    </w:rPr>
                    <w:t>国家级生态保护红线和江苏省生态空间管控区域内</w:t>
                  </w:r>
                  <w:r>
                    <w:rPr>
                      <w:bCs/>
                      <w:color w:val="000000"/>
                      <w:szCs w:val="21"/>
                    </w:rPr>
                    <w:t>与保护主要生态功能无关的开发建设项目、属于国家级生态保护红线和生态空间管控区域禁止从事的开发建设项目</w:t>
                  </w:r>
                </w:p>
              </w:tc>
              <w:tc>
                <w:tcPr>
                  <w:tcW w:w="647" w:type="pct"/>
                  <w:tcBorders>
                    <w:top w:val="single" w:color="auto" w:sz="4" w:space="0"/>
                    <w:left w:val="single" w:color="auto" w:sz="4" w:space="0"/>
                    <w:bottom w:val="single" w:color="auto" w:sz="4" w:space="0"/>
                    <w:right w:val="nil"/>
                  </w:tcBorders>
                  <w:noWrap w:val="0"/>
                  <w:vAlign w:val="center"/>
                </w:tcPr>
                <w:p>
                  <w:pPr>
                    <w:snapToGrid w:val="0"/>
                    <w:ind w:right="63" w:rightChars="30"/>
                    <w:jc w:val="center"/>
                    <w:rPr>
                      <w:bCs/>
                      <w:color w:val="000000"/>
                      <w:szCs w:val="21"/>
                    </w:rPr>
                  </w:pPr>
                  <w:r>
                    <w:rPr>
                      <w:bCs/>
                      <w:color w:val="000000"/>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tcBorders>
                    <w:top w:val="single" w:color="auto" w:sz="4" w:space="0"/>
                    <w:left w:val="nil"/>
                    <w:bottom w:val="single" w:color="auto" w:sz="4" w:space="0"/>
                    <w:right w:val="single" w:color="auto" w:sz="4" w:space="0"/>
                  </w:tcBorders>
                  <w:noWrap w:val="0"/>
                  <w:vAlign w:val="center"/>
                </w:tcPr>
                <w:p>
                  <w:pPr>
                    <w:snapToGrid w:val="0"/>
                    <w:ind w:right="63" w:rightChars="30"/>
                    <w:jc w:val="center"/>
                    <w:rPr>
                      <w:bCs/>
                      <w:color w:val="000000"/>
                      <w:szCs w:val="21"/>
                    </w:rPr>
                  </w:pPr>
                  <w:r>
                    <w:rPr>
                      <w:bCs/>
                      <w:color w:val="000000"/>
                      <w:szCs w:val="21"/>
                    </w:rPr>
                    <w:t>2</w:t>
                  </w:r>
                </w:p>
              </w:tc>
              <w:tc>
                <w:tcPr>
                  <w:tcW w:w="3961" w:type="pct"/>
                  <w:tcBorders>
                    <w:top w:val="single" w:color="auto" w:sz="4" w:space="0"/>
                    <w:left w:val="single" w:color="auto" w:sz="4" w:space="0"/>
                    <w:bottom w:val="single" w:color="auto" w:sz="4" w:space="0"/>
                    <w:right w:val="single" w:color="auto" w:sz="4" w:space="0"/>
                  </w:tcBorders>
                  <w:noWrap w:val="0"/>
                  <w:vAlign w:val="center"/>
                </w:tcPr>
                <w:p>
                  <w:pPr>
                    <w:snapToGrid w:val="0"/>
                    <w:ind w:right="63" w:rightChars="30"/>
                    <w:jc w:val="center"/>
                    <w:rPr>
                      <w:bCs/>
                      <w:color w:val="000000"/>
                      <w:szCs w:val="21"/>
                    </w:rPr>
                  </w:pPr>
                  <w:r>
                    <w:rPr>
                      <w:bCs/>
                      <w:color w:val="000000"/>
                      <w:szCs w:val="21"/>
                    </w:rPr>
                    <w:t>属于《江苏省人民代表大会常务委员会关于加强饮用水源地保护的决定》中规定的位于饮用水源准保护区、二级保护区、一级保护区内禁止从事的开发建设项目</w:t>
                  </w:r>
                </w:p>
              </w:tc>
              <w:tc>
                <w:tcPr>
                  <w:tcW w:w="647" w:type="pct"/>
                  <w:tcBorders>
                    <w:top w:val="single" w:color="auto" w:sz="4" w:space="0"/>
                    <w:left w:val="single" w:color="auto" w:sz="4" w:space="0"/>
                    <w:bottom w:val="single" w:color="auto" w:sz="4" w:space="0"/>
                    <w:right w:val="nil"/>
                  </w:tcBorders>
                  <w:noWrap w:val="0"/>
                  <w:vAlign w:val="center"/>
                </w:tcPr>
                <w:p>
                  <w:pPr>
                    <w:snapToGrid w:val="0"/>
                    <w:ind w:right="63" w:rightChars="30"/>
                    <w:jc w:val="center"/>
                    <w:rPr>
                      <w:bCs/>
                      <w:color w:val="000000"/>
                      <w:szCs w:val="21"/>
                    </w:rPr>
                  </w:pPr>
                  <w:r>
                    <w:rPr>
                      <w:bCs/>
                      <w:color w:val="000000"/>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tcBorders>
                    <w:top w:val="single" w:color="auto" w:sz="4" w:space="0"/>
                    <w:left w:val="nil"/>
                    <w:bottom w:val="single" w:color="auto" w:sz="4" w:space="0"/>
                    <w:right w:val="single" w:color="auto" w:sz="4" w:space="0"/>
                  </w:tcBorders>
                  <w:noWrap w:val="0"/>
                  <w:vAlign w:val="center"/>
                </w:tcPr>
                <w:p>
                  <w:pPr>
                    <w:snapToGrid w:val="0"/>
                    <w:ind w:right="63" w:rightChars="30"/>
                    <w:jc w:val="center"/>
                    <w:rPr>
                      <w:bCs/>
                      <w:color w:val="000000"/>
                      <w:szCs w:val="21"/>
                    </w:rPr>
                  </w:pPr>
                  <w:r>
                    <w:rPr>
                      <w:bCs/>
                      <w:color w:val="000000"/>
                      <w:szCs w:val="21"/>
                    </w:rPr>
                    <w:t>3</w:t>
                  </w:r>
                </w:p>
              </w:tc>
              <w:tc>
                <w:tcPr>
                  <w:tcW w:w="3961" w:type="pct"/>
                  <w:tcBorders>
                    <w:top w:val="single" w:color="auto" w:sz="4" w:space="0"/>
                    <w:left w:val="single" w:color="auto" w:sz="4" w:space="0"/>
                    <w:bottom w:val="single" w:color="auto" w:sz="4" w:space="0"/>
                    <w:right w:val="single" w:color="auto" w:sz="4" w:space="0"/>
                  </w:tcBorders>
                  <w:noWrap w:val="0"/>
                  <w:vAlign w:val="center"/>
                </w:tcPr>
                <w:p>
                  <w:pPr>
                    <w:snapToGrid w:val="0"/>
                    <w:ind w:right="63" w:rightChars="30"/>
                    <w:jc w:val="center"/>
                    <w:rPr>
                      <w:bCs/>
                      <w:color w:val="000000"/>
                      <w:szCs w:val="21"/>
                    </w:rPr>
                  </w:pPr>
                  <w:r>
                    <w:rPr>
                      <w:bCs/>
                      <w:color w:val="000000"/>
                      <w:szCs w:val="21"/>
                    </w:rPr>
                    <w:t>不符合城市总体规划、土地利用规划、环境保护规划的建设项目</w:t>
                  </w:r>
                </w:p>
              </w:tc>
              <w:tc>
                <w:tcPr>
                  <w:tcW w:w="647" w:type="pct"/>
                  <w:tcBorders>
                    <w:top w:val="single" w:color="auto" w:sz="4" w:space="0"/>
                    <w:left w:val="single" w:color="auto" w:sz="4" w:space="0"/>
                    <w:bottom w:val="single" w:color="auto" w:sz="4" w:space="0"/>
                    <w:right w:val="nil"/>
                  </w:tcBorders>
                  <w:noWrap w:val="0"/>
                  <w:vAlign w:val="center"/>
                </w:tcPr>
                <w:p>
                  <w:pPr>
                    <w:snapToGrid w:val="0"/>
                    <w:ind w:right="63" w:rightChars="30"/>
                    <w:jc w:val="center"/>
                    <w:rPr>
                      <w:bCs/>
                      <w:color w:val="000000"/>
                      <w:szCs w:val="21"/>
                    </w:rPr>
                  </w:pPr>
                  <w:r>
                    <w:rPr>
                      <w:bCs/>
                      <w:color w:val="000000"/>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tcBorders>
                    <w:top w:val="single" w:color="auto" w:sz="4" w:space="0"/>
                    <w:left w:val="nil"/>
                    <w:bottom w:val="single" w:color="auto" w:sz="4" w:space="0"/>
                    <w:right w:val="single" w:color="auto" w:sz="4" w:space="0"/>
                  </w:tcBorders>
                  <w:noWrap w:val="0"/>
                  <w:vAlign w:val="center"/>
                </w:tcPr>
                <w:p>
                  <w:pPr>
                    <w:snapToGrid w:val="0"/>
                    <w:ind w:right="63" w:rightChars="30"/>
                    <w:jc w:val="center"/>
                    <w:rPr>
                      <w:bCs/>
                      <w:color w:val="000000"/>
                      <w:szCs w:val="21"/>
                    </w:rPr>
                  </w:pPr>
                  <w:r>
                    <w:rPr>
                      <w:bCs/>
                      <w:color w:val="000000"/>
                      <w:szCs w:val="21"/>
                    </w:rPr>
                    <w:t>4</w:t>
                  </w:r>
                </w:p>
              </w:tc>
              <w:tc>
                <w:tcPr>
                  <w:tcW w:w="3961" w:type="pct"/>
                  <w:tcBorders>
                    <w:top w:val="single" w:color="auto" w:sz="4" w:space="0"/>
                    <w:left w:val="single" w:color="auto" w:sz="4" w:space="0"/>
                    <w:bottom w:val="single" w:color="auto" w:sz="4" w:space="0"/>
                    <w:right w:val="single" w:color="auto" w:sz="4" w:space="0"/>
                  </w:tcBorders>
                  <w:noWrap w:val="0"/>
                  <w:vAlign w:val="center"/>
                </w:tcPr>
                <w:p>
                  <w:pPr>
                    <w:snapToGrid w:val="0"/>
                    <w:ind w:right="63" w:rightChars="30"/>
                    <w:jc w:val="center"/>
                    <w:rPr>
                      <w:bCs/>
                      <w:color w:val="000000"/>
                      <w:szCs w:val="21"/>
                    </w:rPr>
                  </w:pPr>
                  <w:r>
                    <w:rPr>
                      <w:color w:val="000000"/>
                      <w:kern w:val="0"/>
                      <w:szCs w:val="21"/>
                    </w:rPr>
                    <w:t>环境污染严重、污染物排放总量指标未落实的项目</w:t>
                  </w:r>
                </w:p>
              </w:tc>
              <w:tc>
                <w:tcPr>
                  <w:tcW w:w="647" w:type="pct"/>
                  <w:tcBorders>
                    <w:top w:val="single" w:color="auto" w:sz="4" w:space="0"/>
                    <w:left w:val="single" w:color="auto" w:sz="4" w:space="0"/>
                    <w:bottom w:val="single" w:color="auto" w:sz="4" w:space="0"/>
                    <w:right w:val="nil"/>
                  </w:tcBorders>
                  <w:noWrap w:val="0"/>
                  <w:vAlign w:val="center"/>
                </w:tcPr>
                <w:p>
                  <w:pPr>
                    <w:snapToGrid w:val="0"/>
                    <w:ind w:right="63" w:rightChars="30"/>
                    <w:jc w:val="center"/>
                    <w:rPr>
                      <w:bCs/>
                      <w:color w:val="000000"/>
                      <w:szCs w:val="21"/>
                    </w:rPr>
                  </w:pPr>
                  <w:r>
                    <w:rPr>
                      <w:bCs/>
                      <w:color w:val="000000"/>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tcBorders>
                    <w:top w:val="single" w:color="auto" w:sz="4" w:space="0"/>
                    <w:left w:val="nil"/>
                    <w:bottom w:val="single" w:color="auto" w:sz="4" w:space="0"/>
                    <w:right w:val="single" w:color="auto" w:sz="4" w:space="0"/>
                  </w:tcBorders>
                  <w:noWrap w:val="0"/>
                  <w:vAlign w:val="center"/>
                </w:tcPr>
                <w:p>
                  <w:pPr>
                    <w:snapToGrid w:val="0"/>
                    <w:ind w:right="63" w:rightChars="30"/>
                    <w:jc w:val="center"/>
                    <w:rPr>
                      <w:bCs/>
                      <w:color w:val="000000"/>
                      <w:szCs w:val="21"/>
                    </w:rPr>
                  </w:pPr>
                  <w:r>
                    <w:rPr>
                      <w:bCs/>
                      <w:color w:val="000000"/>
                      <w:szCs w:val="21"/>
                    </w:rPr>
                    <w:t>5</w:t>
                  </w:r>
                </w:p>
              </w:tc>
              <w:tc>
                <w:tcPr>
                  <w:tcW w:w="3961" w:type="pct"/>
                  <w:tcBorders>
                    <w:top w:val="single" w:color="auto" w:sz="4" w:space="0"/>
                    <w:left w:val="single" w:color="auto" w:sz="4" w:space="0"/>
                    <w:bottom w:val="single" w:color="auto" w:sz="4" w:space="0"/>
                    <w:right w:val="single" w:color="auto" w:sz="4" w:space="0"/>
                  </w:tcBorders>
                  <w:noWrap w:val="0"/>
                  <w:vAlign w:val="center"/>
                </w:tcPr>
                <w:p>
                  <w:pPr>
                    <w:snapToGrid w:val="0"/>
                    <w:ind w:right="63" w:rightChars="30"/>
                    <w:jc w:val="center"/>
                    <w:rPr>
                      <w:bCs/>
                      <w:color w:val="000000"/>
                      <w:szCs w:val="21"/>
                    </w:rPr>
                  </w:pPr>
                  <w:r>
                    <w:rPr>
                      <w:color w:val="000000"/>
                      <w:kern w:val="0"/>
                      <w:szCs w:val="21"/>
                    </w:rPr>
                    <w:t>国家、江苏省明确规定不得审批的建设项目</w:t>
                  </w:r>
                </w:p>
              </w:tc>
              <w:tc>
                <w:tcPr>
                  <w:tcW w:w="647" w:type="pct"/>
                  <w:tcBorders>
                    <w:top w:val="single" w:color="auto" w:sz="4" w:space="0"/>
                    <w:left w:val="single" w:color="auto" w:sz="4" w:space="0"/>
                    <w:bottom w:val="single" w:color="auto" w:sz="4" w:space="0"/>
                    <w:right w:val="nil"/>
                  </w:tcBorders>
                  <w:noWrap w:val="0"/>
                  <w:vAlign w:val="center"/>
                </w:tcPr>
                <w:p>
                  <w:pPr>
                    <w:snapToGrid w:val="0"/>
                    <w:ind w:right="63" w:rightChars="30"/>
                    <w:jc w:val="center"/>
                    <w:rPr>
                      <w:bCs/>
                      <w:color w:val="000000"/>
                      <w:szCs w:val="21"/>
                    </w:rPr>
                  </w:pPr>
                  <w:r>
                    <w:rPr>
                      <w:bCs/>
                      <w:color w:val="000000"/>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tcBorders>
                    <w:top w:val="single" w:color="auto" w:sz="4" w:space="0"/>
                    <w:left w:val="nil"/>
                    <w:bottom w:val="single" w:color="auto" w:sz="4" w:space="0"/>
                    <w:right w:val="single" w:color="auto" w:sz="4" w:space="0"/>
                  </w:tcBorders>
                  <w:noWrap w:val="0"/>
                  <w:vAlign w:val="center"/>
                </w:tcPr>
                <w:p>
                  <w:pPr>
                    <w:snapToGrid w:val="0"/>
                    <w:ind w:right="63" w:rightChars="30"/>
                    <w:jc w:val="center"/>
                    <w:rPr>
                      <w:bCs/>
                      <w:color w:val="000000"/>
                      <w:szCs w:val="21"/>
                    </w:rPr>
                  </w:pPr>
                  <w:r>
                    <w:rPr>
                      <w:bCs/>
                      <w:color w:val="000000"/>
                      <w:szCs w:val="21"/>
                    </w:rPr>
                    <w:t>6</w:t>
                  </w:r>
                </w:p>
              </w:tc>
              <w:tc>
                <w:tcPr>
                  <w:tcW w:w="3961" w:type="pct"/>
                  <w:tcBorders>
                    <w:top w:val="single" w:color="auto" w:sz="4" w:space="0"/>
                    <w:left w:val="single" w:color="auto" w:sz="4" w:space="0"/>
                    <w:bottom w:val="single" w:color="auto" w:sz="4" w:space="0"/>
                    <w:right w:val="single" w:color="auto" w:sz="4" w:space="0"/>
                  </w:tcBorders>
                  <w:noWrap w:val="0"/>
                  <w:vAlign w:val="center"/>
                </w:tcPr>
                <w:p>
                  <w:pPr>
                    <w:snapToGrid w:val="0"/>
                    <w:ind w:right="63" w:rightChars="30"/>
                    <w:jc w:val="center"/>
                    <w:rPr>
                      <w:color w:val="000000"/>
                      <w:kern w:val="0"/>
                      <w:szCs w:val="21"/>
                    </w:rPr>
                  </w:pPr>
                  <w:r>
                    <w:rPr>
                      <w:color w:val="000000"/>
                      <w:kern w:val="0"/>
                      <w:szCs w:val="21"/>
                    </w:rPr>
                    <w:t>根据</w:t>
                  </w:r>
                  <w:r>
                    <w:rPr>
                      <w:color w:val="000000"/>
                      <w:szCs w:val="21"/>
                    </w:rPr>
                    <w:t>市场准入负面清单（</w:t>
                  </w:r>
                  <w:r>
                    <w:rPr>
                      <w:rFonts w:hint="eastAsia"/>
                      <w:color w:val="000000"/>
                      <w:szCs w:val="21"/>
                      <w:lang w:val="en-US" w:eastAsia="zh-CN"/>
                    </w:rPr>
                    <w:t>2020</w:t>
                  </w:r>
                  <w:r>
                    <w:rPr>
                      <w:color w:val="000000"/>
                      <w:szCs w:val="21"/>
                    </w:rPr>
                    <w:t>年版），本项目不属于“禁止准入类”。</w:t>
                  </w:r>
                </w:p>
              </w:tc>
              <w:tc>
                <w:tcPr>
                  <w:tcW w:w="647" w:type="pct"/>
                  <w:tcBorders>
                    <w:top w:val="single" w:color="auto" w:sz="4" w:space="0"/>
                    <w:left w:val="single" w:color="auto" w:sz="4" w:space="0"/>
                    <w:bottom w:val="single" w:color="auto" w:sz="4" w:space="0"/>
                    <w:right w:val="nil"/>
                  </w:tcBorders>
                  <w:noWrap w:val="0"/>
                  <w:vAlign w:val="center"/>
                </w:tcPr>
                <w:p>
                  <w:pPr>
                    <w:snapToGrid w:val="0"/>
                    <w:ind w:right="63" w:rightChars="30"/>
                    <w:jc w:val="center"/>
                    <w:rPr>
                      <w:bCs/>
                      <w:color w:val="000000"/>
                      <w:szCs w:val="21"/>
                    </w:rPr>
                  </w:pPr>
                  <w:r>
                    <w:rPr>
                      <w:bCs/>
                      <w:color w:val="000000"/>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390" w:type="pct"/>
                  <w:tcBorders>
                    <w:top w:val="single" w:color="auto" w:sz="4" w:space="0"/>
                    <w:left w:val="nil"/>
                    <w:bottom w:val="single" w:color="auto" w:sz="12" w:space="0"/>
                    <w:right w:val="single" w:color="auto" w:sz="4" w:space="0"/>
                  </w:tcBorders>
                  <w:noWrap w:val="0"/>
                  <w:vAlign w:val="center"/>
                </w:tcPr>
                <w:p>
                  <w:pPr>
                    <w:snapToGrid w:val="0"/>
                    <w:ind w:right="63" w:rightChars="30"/>
                    <w:jc w:val="center"/>
                    <w:rPr>
                      <w:bCs/>
                      <w:color w:val="000000"/>
                      <w:szCs w:val="21"/>
                    </w:rPr>
                  </w:pPr>
                  <w:r>
                    <w:rPr>
                      <w:bCs/>
                      <w:color w:val="000000"/>
                      <w:szCs w:val="21"/>
                    </w:rPr>
                    <w:t>7</w:t>
                  </w:r>
                </w:p>
              </w:tc>
              <w:tc>
                <w:tcPr>
                  <w:tcW w:w="3961" w:type="pct"/>
                  <w:tcBorders>
                    <w:top w:val="single" w:color="auto" w:sz="4" w:space="0"/>
                    <w:left w:val="single" w:color="auto" w:sz="4" w:space="0"/>
                    <w:bottom w:val="single" w:color="auto" w:sz="12" w:space="0"/>
                    <w:right w:val="single" w:color="auto" w:sz="4" w:space="0"/>
                  </w:tcBorders>
                  <w:noWrap w:val="0"/>
                  <w:vAlign w:val="center"/>
                </w:tcPr>
                <w:p>
                  <w:pPr>
                    <w:snapToGrid w:val="0"/>
                    <w:ind w:right="63" w:rightChars="30"/>
                    <w:jc w:val="center"/>
                    <w:rPr>
                      <w:color w:val="000000"/>
                      <w:kern w:val="0"/>
                      <w:szCs w:val="21"/>
                    </w:rPr>
                  </w:pPr>
                  <w:r>
                    <w:rPr>
                      <w:color w:val="000000"/>
                      <w:kern w:val="0"/>
                      <w:szCs w:val="21"/>
                    </w:rPr>
                    <w:t>根据《金坛经济开发区发展规划环境影响报告书》审查意见，机械装备、电子行业禁止引进电镀、表面处理类项目，化工行业禁止引进与盐化工及下游产品生产不相关的化工项目、农药项目，新材料禁止引进太阳能电池切片、钢铁等传统型金属材料、水泥等传统型非金属材料的生产项目，纺织禁止引进废水排放量较大的纯印染和纯染整类企业和项目</w:t>
                  </w:r>
                </w:p>
              </w:tc>
              <w:tc>
                <w:tcPr>
                  <w:tcW w:w="647" w:type="pct"/>
                  <w:tcBorders>
                    <w:top w:val="single" w:color="auto" w:sz="4" w:space="0"/>
                    <w:left w:val="single" w:color="auto" w:sz="4" w:space="0"/>
                    <w:bottom w:val="single" w:color="auto" w:sz="12" w:space="0"/>
                    <w:right w:val="nil"/>
                  </w:tcBorders>
                  <w:noWrap w:val="0"/>
                  <w:vAlign w:val="center"/>
                </w:tcPr>
                <w:p>
                  <w:pPr>
                    <w:snapToGrid w:val="0"/>
                    <w:ind w:right="63" w:rightChars="30"/>
                    <w:jc w:val="center"/>
                    <w:rPr>
                      <w:bCs/>
                      <w:color w:val="000000"/>
                      <w:szCs w:val="21"/>
                    </w:rPr>
                  </w:pPr>
                  <w:r>
                    <w:rPr>
                      <w:bCs/>
                      <w:color w:val="000000"/>
                      <w:szCs w:val="21"/>
                    </w:rPr>
                    <w:t>不属于禁止引进项目</w:t>
                  </w:r>
                </w:p>
              </w:tc>
            </w:tr>
          </w:tbl>
          <w:p>
            <w:pPr>
              <w:adjustRightInd w:val="0"/>
              <w:snapToGrid w:val="0"/>
              <w:spacing w:before="120" w:beforeLines="50"/>
              <w:jc w:val="center"/>
              <w:rPr>
                <w:b/>
                <w:bCs/>
                <w:color w:val="000000"/>
                <w:sz w:val="24"/>
              </w:rPr>
            </w:pPr>
            <w:r>
              <w:rPr>
                <w:rFonts w:hint="eastAsia"/>
                <w:b/>
                <w:bCs/>
                <w:color w:val="000000"/>
                <w:sz w:val="24"/>
              </w:rPr>
              <w:t>表1-4  长江经济带发展负面清单指南（试行）负面清单</w:t>
            </w:r>
          </w:p>
          <w:tbl>
            <w:tblPr>
              <w:tblStyle w:val="23"/>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827"/>
              <w:gridCol w:w="20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noWrap w:val="0"/>
                  <w:vAlign w:val="center"/>
                </w:tcPr>
                <w:p>
                  <w:pPr>
                    <w:adjustRightInd w:val="0"/>
                    <w:snapToGrid w:val="0"/>
                    <w:jc w:val="center"/>
                    <w:rPr>
                      <w:b/>
                      <w:color w:val="000000"/>
                      <w:szCs w:val="21"/>
                    </w:rPr>
                  </w:pPr>
                  <w:r>
                    <w:rPr>
                      <w:b/>
                      <w:color w:val="000000"/>
                      <w:szCs w:val="21"/>
                    </w:rPr>
                    <w:t>序号</w:t>
                  </w:r>
                </w:p>
              </w:tc>
              <w:tc>
                <w:tcPr>
                  <w:tcW w:w="3192" w:type="pct"/>
                  <w:noWrap w:val="0"/>
                  <w:vAlign w:val="center"/>
                </w:tcPr>
                <w:p>
                  <w:pPr>
                    <w:adjustRightInd w:val="0"/>
                    <w:snapToGrid w:val="0"/>
                    <w:jc w:val="center"/>
                    <w:rPr>
                      <w:b/>
                      <w:color w:val="000000"/>
                      <w:szCs w:val="21"/>
                    </w:rPr>
                  </w:pPr>
                  <w:r>
                    <w:rPr>
                      <w:b/>
                      <w:color w:val="000000"/>
                      <w:szCs w:val="21"/>
                    </w:rPr>
                    <w:t>文件要求</w:t>
                  </w:r>
                </w:p>
              </w:tc>
              <w:tc>
                <w:tcPr>
                  <w:tcW w:w="1344" w:type="pct"/>
                  <w:noWrap w:val="0"/>
                  <w:vAlign w:val="center"/>
                </w:tcPr>
                <w:p>
                  <w:pPr>
                    <w:adjustRightInd w:val="0"/>
                    <w:snapToGrid w:val="0"/>
                    <w:jc w:val="center"/>
                    <w:rPr>
                      <w:b/>
                      <w:color w:val="000000"/>
                      <w:szCs w:val="21"/>
                    </w:rPr>
                  </w:pPr>
                  <w:r>
                    <w:rPr>
                      <w:rFonts w:hint="eastAsia"/>
                      <w:b/>
                      <w:color w:val="000000"/>
                      <w:szCs w:val="21"/>
                    </w:rPr>
                    <w:t>项目情况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noWrap w:val="0"/>
                  <w:vAlign w:val="center"/>
                </w:tcPr>
                <w:p>
                  <w:pPr>
                    <w:adjustRightInd w:val="0"/>
                    <w:snapToGrid w:val="0"/>
                    <w:jc w:val="center"/>
                    <w:rPr>
                      <w:color w:val="000000"/>
                      <w:szCs w:val="21"/>
                    </w:rPr>
                  </w:pPr>
                  <w:r>
                    <w:rPr>
                      <w:color w:val="000000"/>
                      <w:szCs w:val="21"/>
                    </w:rPr>
                    <w:t>1</w:t>
                  </w:r>
                </w:p>
              </w:tc>
              <w:tc>
                <w:tcPr>
                  <w:tcW w:w="3192" w:type="pct"/>
                  <w:noWrap w:val="0"/>
                  <w:vAlign w:val="center"/>
                </w:tcPr>
                <w:p>
                  <w:pPr>
                    <w:adjustRightInd w:val="0"/>
                    <w:snapToGrid w:val="0"/>
                    <w:jc w:val="center"/>
                    <w:rPr>
                      <w:color w:val="000000"/>
                      <w:szCs w:val="21"/>
                    </w:rPr>
                  </w:pPr>
                  <w:r>
                    <w:rPr>
                      <w:color w:val="000000"/>
                      <w:szCs w:val="21"/>
                    </w:rPr>
                    <w:t>禁止在合规园区外建设、扩建钢铁、石化、化工、焦化、建材、有色等高污染项目</w:t>
                  </w:r>
                </w:p>
              </w:tc>
              <w:tc>
                <w:tcPr>
                  <w:tcW w:w="1344" w:type="pct"/>
                  <w:noWrap w:val="0"/>
                  <w:vAlign w:val="center"/>
                </w:tcPr>
                <w:p>
                  <w:pPr>
                    <w:adjustRightInd w:val="0"/>
                    <w:snapToGrid w:val="0"/>
                    <w:jc w:val="center"/>
                    <w:rPr>
                      <w:color w:val="000000"/>
                      <w:szCs w:val="21"/>
                    </w:rPr>
                  </w:pPr>
                  <w:r>
                    <w:rPr>
                      <w:rFonts w:hint="eastAsia"/>
                      <w:color w:val="000000"/>
                      <w:szCs w:val="21"/>
                    </w:rPr>
                    <w:t>不属于禁止类项目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noWrap w:val="0"/>
                  <w:vAlign w:val="center"/>
                </w:tcPr>
                <w:p>
                  <w:pPr>
                    <w:adjustRightInd w:val="0"/>
                    <w:snapToGrid w:val="0"/>
                    <w:jc w:val="center"/>
                    <w:rPr>
                      <w:color w:val="000000"/>
                      <w:szCs w:val="21"/>
                    </w:rPr>
                  </w:pPr>
                  <w:r>
                    <w:rPr>
                      <w:color w:val="000000"/>
                      <w:szCs w:val="21"/>
                    </w:rPr>
                    <w:t>2</w:t>
                  </w:r>
                </w:p>
              </w:tc>
              <w:tc>
                <w:tcPr>
                  <w:tcW w:w="3192" w:type="pct"/>
                  <w:noWrap w:val="0"/>
                  <w:vAlign w:val="center"/>
                </w:tcPr>
                <w:p>
                  <w:pPr>
                    <w:adjustRightInd w:val="0"/>
                    <w:snapToGrid w:val="0"/>
                    <w:jc w:val="center"/>
                    <w:rPr>
                      <w:color w:val="000000"/>
                      <w:szCs w:val="21"/>
                    </w:rPr>
                  </w:pPr>
                  <w:r>
                    <w:rPr>
                      <w:color w:val="000000"/>
                      <w:szCs w:val="21"/>
                    </w:rPr>
                    <w:t>禁止新建、扩建法律法规和相关政策明令制止的落后产能项目</w:t>
                  </w:r>
                </w:p>
              </w:tc>
              <w:tc>
                <w:tcPr>
                  <w:tcW w:w="1344" w:type="pct"/>
                  <w:noWrap w:val="0"/>
                  <w:vAlign w:val="center"/>
                </w:tcPr>
                <w:p>
                  <w:pPr>
                    <w:adjustRightInd w:val="0"/>
                    <w:snapToGrid w:val="0"/>
                    <w:jc w:val="center"/>
                    <w:rPr>
                      <w:color w:val="000000"/>
                      <w:szCs w:val="21"/>
                    </w:rPr>
                  </w:pPr>
                  <w:r>
                    <w:rPr>
                      <w:rFonts w:hint="eastAsia"/>
                      <w:color w:val="000000"/>
                      <w:szCs w:val="21"/>
                    </w:rPr>
                    <w:t>不属于禁止类项目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noWrap w:val="0"/>
                  <w:vAlign w:val="center"/>
                </w:tcPr>
                <w:p>
                  <w:pPr>
                    <w:adjustRightInd w:val="0"/>
                    <w:snapToGrid w:val="0"/>
                    <w:jc w:val="center"/>
                    <w:rPr>
                      <w:color w:val="000000"/>
                      <w:szCs w:val="21"/>
                    </w:rPr>
                  </w:pPr>
                  <w:r>
                    <w:rPr>
                      <w:color w:val="000000"/>
                      <w:szCs w:val="21"/>
                    </w:rPr>
                    <w:t>3</w:t>
                  </w:r>
                </w:p>
              </w:tc>
              <w:tc>
                <w:tcPr>
                  <w:tcW w:w="3192" w:type="pct"/>
                  <w:noWrap w:val="0"/>
                  <w:vAlign w:val="center"/>
                </w:tcPr>
                <w:p>
                  <w:pPr>
                    <w:adjustRightInd w:val="0"/>
                    <w:snapToGrid w:val="0"/>
                    <w:jc w:val="center"/>
                    <w:rPr>
                      <w:color w:val="000000"/>
                      <w:szCs w:val="21"/>
                    </w:rPr>
                  </w:pPr>
                  <w:r>
                    <w:rPr>
                      <w:color w:val="000000"/>
                      <w:szCs w:val="21"/>
                    </w:rPr>
                    <w:t>禁止新建、扩建不符合国家产能置换要求的严重过剩产能行业的项目</w:t>
                  </w:r>
                </w:p>
              </w:tc>
              <w:tc>
                <w:tcPr>
                  <w:tcW w:w="1344" w:type="pct"/>
                  <w:noWrap w:val="0"/>
                  <w:vAlign w:val="center"/>
                </w:tcPr>
                <w:p>
                  <w:pPr>
                    <w:adjustRightInd w:val="0"/>
                    <w:snapToGrid w:val="0"/>
                    <w:jc w:val="center"/>
                    <w:rPr>
                      <w:color w:val="000000"/>
                      <w:szCs w:val="21"/>
                    </w:rPr>
                  </w:pPr>
                  <w:r>
                    <w:rPr>
                      <w:rFonts w:hint="eastAsia"/>
                      <w:color w:val="000000"/>
                      <w:szCs w:val="21"/>
                    </w:rPr>
                    <w:t>不属于禁止类项目</w:t>
                  </w:r>
                </w:p>
              </w:tc>
            </w:tr>
          </w:tbl>
          <w:p>
            <w:pPr>
              <w:adjustRightInd w:val="0"/>
              <w:snapToGrid w:val="0"/>
              <w:spacing w:before="120" w:beforeLines="50"/>
              <w:rPr>
                <w:b/>
                <w:bCs/>
                <w:color w:val="000000"/>
                <w:sz w:val="24"/>
              </w:rPr>
            </w:pPr>
            <w:r>
              <w:rPr>
                <w:rFonts w:hint="eastAsia"/>
                <w:b/>
                <w:bCs/>
                <w:color w:val="000000"/>
                <w:sz w:val="24"/>
              </w:rPr>
              <w:t>表1-5  长江经济带发展负面清单指南江苏省实施细则（试行）负面清单</w:t>
            </w:r>
          </w:p>
          <w:tbl>
            <w:tblPr>
              <w:tblStyle w:val="23"/>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117"/>
              <w:gridCol w:w="1876"/>
              <w:gridCol w:w="8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dxa"/>
                  <w:noWrap w:val="0"/>
                  <w:vAlign w:val="center"/>
                </w:tcPr>
                <w:p>
                  <w:pPr>
                    <w:adjustRightInd w:val="0"/>
                    <w:snapToGrid w:val="0"/>
                    <w:jc w:val="center"/>
                    <w:rPr>
                      <w:b/>
                      <w:color w:val="000000"/>
                      <w:szCs w:val="21"/>
                    </w:rPr>
                  </w:pPr>
                  <w:r>
                    <w:rPr>
                      <w:b/>
                      <w:color w:val="000000"/>
                      <w:szCs w:val="21"/>
                    </w:rPr>
                    <w:t>序号</w:t>
                  </w:r>
                </w:p>
              </w:tc>
              <w:tc>
                <w:tcPr>
                  <w:tcW w:w="4118" w:type="dxa"/>
                  <w:noWrap w:val="0"/>
                  <w:vAlign w:val="center"/>
                </w:tcPr>
                <w:p>
                  <w:pPr>
                    <w:adjustRightInd w:val="0"/>
                    <w:snapToGrid w:val="0"/>
                    <w:jc w:val="center"/>
                    <w:rPr>
                      <w:b/>
                      <w:color w:val="000000"/>
                      <w:szCs w:val="21"/>
                    </w:rPr>
                  </w:pPr>
                  <w:r>
                    <w:rPr>
                      <w:b/>
                      <w:color w:val="000000"/>
                      <w:szCs w:val="21"/>
                    </w:rPr>
                    <w:t>文件要求</w:t>
                  </w:r>
                </w:p>
              </w:tc>
              <w:tc>
                <w:tcPr>
                  <w:tcW w:w="1876" w:type="dxa"/>
                  <w:noWrap w:val="0"/>
                  <w:vAlign w:val="center"/>
                </w:tcPr>
                <w:p>
                  <w:pPr>
                    <w:adjustRightInd w:val="0"/>
                    <w:snapToGrid w:val="0"/>
                    <w:jc w:val="center"/>
                    <w:rPr>
                      <w:b/>
                      <w:color w:val="000000"/>
                      <w:szCs w:val="21"/>
                    </w:rPr>
                  </w:pPr>
                  <w:r>
                    <w:rPr>
                      <w:b/>
                      <w:color w:val="000000"/>
                      <w:szCs w:val="21"/>
                    </w:rPr>
                    <w:t>本项目相关内容</w:t>
                  </w:r>
                </w:p>
              </w:tc>
              <w:tc>
                <w:tcPr>
                  <w:tcW w:w="898" w:type="dxa"/>
                  <w:noWrap w:val="0"/>
                  <w:vAlign w:val="center"/>
                </w:tcPr>
                <w:p>
                  <w:pPr>
                    <w:adjustRightInd w:val="0"/>
                    <w:snapToGrid w:val="0"/>
                    <w:jc w:val="center"/>
                    <w:rPr>
                      <w:b/>
                      <w:color w:val="000000"/>
                      <w:szCs w:val="21"/>
                    </w:rPr>
                  </w:pPr>
                  <w:r>
                    <w:rPr>
                      <w:b/>
                      <w:color w:val="000000"/>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dxa"/>
                  <w:noWrap w:val="0"/>
                  <w:vAlign w:val="center"/>
                </w:tcPr>
                <w:p>
                  <w:pPr>
                    <w:adjustRightInd w:val="0"/>
                    <w:snapToGrid w:val="0"/>
                    <w:jc w:val="center"/>
                    <w:rPr>
                      <w:color w:val="000000"/>
                      <w:szCs w:val="21"/>
                    </w:rPr>
                  </w:pPr>
                  <w:r>
                    <w:rPr>
                      <w:color w:val="000000"/>
                      <w:szCs w:val="21"/>
                    </w:rPr>
                    <w:t>1</w:t>
                  </w:r>
                </w:p>
              </w:tc>
              <w:tc>
                <w:tcPr>
                  <w:tcW w:w="4118" w:type="dxa"/>
                  <w:noWrap w:val="0"/>
                  <w:vAlign w:val="center"/>
                </w:tcPr>
                <w:p>
                  <w:pPr>
                    <w:adjustRightInd w:val="0"/>
                    <w:snapToGrid w:val="0"/>
                    <w:jc w:val="center"/>
                    <w:rPr>
                      <w:color w:val="000000"/>
                      <w:szCs w:val="21"/>
                    </w:rPr>
                  </w:pPr>
                  <w:r>
                    <w:rPr>
                      <w:b/>
                      <w:bCs/>
                      <w:color w:val="000000"/>
                      <w:szCs w:val="21"/>
                    </w:rPr>
                    <w:t>禁止在合规园区外建设、扩建钢铁、石化、化工、焦化、建材、有色等高污染项目。</w:t>
                  </w:r>
                  <w:r>
                    <w:rPr>
                      <w:color w:val="000000"/>
                      <w:szCs w:val="21"/>
                    </w:rPr>
                    <w:t>合规园区名录按照《江苏省长江经济带发展负面清单实施细则（试行）合规园区名录》执行。高污染项目</w:t>
                  </w:r>
                  <w:r>
                    <w:rPr>
                      <w:rFonts w:hint="eastAsia"/>
                      <w:color w:val="000000"/>
                      <w:szCs w:val="21"/>
                    </w:rPr>
                    <w:t>应</w:t>
                  </w:r>
                  <w:r>
                    <w:rPr>
                      <w:color w:val="000000"/>
                      <w:szCs w:val="21"/>
                    </w:rPr>
                    <w:t>严格按照《环境保护综合名录》等有关要求执行。</w:t>
                  </w:r>
                </w:p>
              </w:tc>
              <w:tc>
                <w:tcPr>
                  <w:tcW w:w="1876" w:type="dxa"/>
                  <w:noWrap w:val="0"/>
                  <w:vAlign w:val="center"/>
                </w:tcPr>
                <w:p>
                  <w:pPr>
                    <w:adjustRightInd w:val="0"/>
                    <w:snapToGrid w:val="0"/>
                    <w:jc w:val="center"/>
                    <w:rPr>
                      <w:color w:val="000000"/>
                      <w:szCs w:val="21"/>
                    </w:rPr>
                  </w:pPr>
                  <w:r>
                    <w:rPr>
                      <w:color w:val="000000"/>
                      <w:szCs w:val="21"/>
                    </w:rPr>
                    <w:t>本项目位于金坛经济开发区</w:t>
                  </w:r>
                  <w:r>
                    <w:rPr>
                      <w:rFonts w:hint="eastAsia"/>
                      <w:color w:val="000000"/>
                      <w:szCs w:val="21"/>
                    </w:rPr>
                    <w:t>，属于</w:t>
                  </w:r>
                  <w:r>
                    <w:rPr>
                      <w:color w:val="000000"/>
                      <w:szCs w:val="21"/>
                    </w:rPr>
                    <w:t>合规园区，项目不属于《环境保护综合名录》中高污染项目</w:t>
                  </w:r>
                </w:p>
              </w:tc>
              <w:tc>
                <w:tcPr>
                  <w:tcW w:w="898" w:type="dxa"/>
                  <w:noWrap w:val="0"/>
                  <w:vAlign w:val="center"/>
                </w:tcPr>
                <w:p>
                  <w:pPr>
                    <w:adjustRightInd w:val="0"/>
                    <w:snapToGrid w:val="0"/>
                    <w:jc w:val="center"/>
                    <w:rPr>
                      <w:color w:val="000000"/>
                      <w:szCs w:val="21"/>
                    </w:rPr>
                  </w:pPr>
                  <w:r>
                    <w:rPr>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dxa"/>
                  <w:noWrap w:val="0"/>
                  <w:vAlign w:val="center"/>
                </w:tcPr>
                <w:p>
                  <w:pPr>
                    <w:adjustRightInd w:val="0"/>
                    <w:snapToGrid w:val="0"/>
                    <w:jc w:val="center"/>
                    <w:rPr>
                      <w:color w:val="000000"/>
                      <w:szCs w:val="21"/>
                    </w:rPr>
                  </w:pPr>
                  <w:r>
                    <w:rPr>
                      <w:color w:val="000000"/>
                      <w:szCs w:val="21"/>
                    </w:rPr>
                    <w:t>2</w:t>
                  </w:r>
                </w:p>
              </w:tc>
              <w:tc>
                <w:tcPr>
                  <w:tcW w:w="4118" w:type="dxa"/>
                  <w:noWrap w:val="0"/>
                  <w:vAlign w:val="center"/>
                </w:tcPr>
                <w:p>
                  <w:pPr>
                    <w:adjustRightInd w:val="0"/>
                    <w:snapToGrid w:val="0"/>
                    <w:jc w:val="center"/>
                    <w:rPr>
                      <w:color w:val="000000"/>
                      <w:szCs w:val="21"/>
                    </w:rPr>
                  </w:pPr>
                  <w:r>
                    <w:rPr>
                      <w:b/>
                      <w:bCs/>
                      <w:color w:val="000000"/>
                      <w:szCs w:val="21"/>
                    </w:rPr>
                    <w:t>禁止新建、扩建法律法规和相关政策明令</w:t>
                  </w:r>
                  <w:r>
                    <w:rPr>
                      <w:rFonts w:hint="eastAsia"/>
                      <w:b/>
                      <w:bCs/>
                      <w:color w:val="000000"/>
                      <w:szCs w:val="21"/>
                    </w:rPr>
                    <w:t>禁止</w:t>
                  </w:r>
                  <w:r>
                    <w:rPr>
                      <w:b/>
                      <w:bCs/>
                      <w:color w:val="000000"/>
                      <w:szCs w:val="21"/>
                    </w:rPr>
                    <w:t>的落后产能项目。</w:t>
                  </w:r>
                  <w:r>
                    <w:rPr>
                      <w:color w:val="000000"/>
                      <w:szCs w:val="21"/>
                    </w:rPr>
                    <w:t>禁止新建、扩建国家《产业结构调整指导目录》《江苏省产业结构调整限制、淘汰和禁止目录》明确的限制类、淘汰类、禁止类项目，法律法规和相关政策明令禁止的落后产能项目及明令淘汰的安全生产落后工艺及装备项目。</w:t>
                  </w:r>
                </w:p>
              </w:tc>
              <w:tc>
                <w:tcPr>
                  <w:tcW w:w="1876" w:type="dxa"/>
                  <w:noWrap w:val="0"/>
                  <w:vAlign w:val="center"/>
                </w:tcPr>
                <w:p>
                  <w:pPr>
                    <w:adjustRightInd w:val="0"/>
                    <w:snapToGrid w:val="0"/>
                    <w:jc w:val="center"/>
                    <w:rPr>
                      <w:color w:val="000000"/>
                      <w:szCs w:val="21"/>
                    </w:rPr>
                  </w:pPr>
                  <w:r>
                    <w:rPr>
                      <w:color w:val="000000"/>
                      <w:szCs w:val="21"/>
                    </w:rPr>
                    <w:t>项目不属于法律法规和相关政策明令禁止的落后产能项目</w:t>
                  </w:r>
                </w:p>
              </w:tc>
              <w:tc>
                <w:tcPr>
                  <w:tcW w:w="898" w:type="dxa"/>
                  <w:noWrap w:val="0"/>
                  <w:vAlign w:val="center"/>
                </w:tcPr>
                <w:p>
                  <w:pPr>
                    <w:adjustRightInd w:val="0"/>
                    <w:snapToGrid w:val="0"/>
                    <w:jc w:val="center"/>
                    <w:rPr>
                      <w:color w:val="000000"/>
                      <w:szCs w:val="21"/>
                    </w:rPr>
                  </w:pPr>
                  <w:r>
                    <w:rPr>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dxa"/>
                  <w:noWrap w:val="0"/>
                  <w:vAlign w:val="center"/>
                </w:tcPr>
                <w:p>
                  <w:pPr>
                    <w:adjustRightInd w:val="0"/>
                    <w:snapToGrid w:val="0"/>
                    <w:jc w:val="center"/>
                    <w:rPr>
                      <w:color w:val="000000"/>
                      <w:szCs w:val="21"/>
                    </w:rPr>
                  </w:pPr>
                  <w:r>
                    <w:rPr>
                      <w:color w:val="000000"/>
                      <w:szCs w:val="21"/>
                    </w:rPr>
                    <w:t>3</w:t>
                  </w:r>
                </w:p>
              </w:tc>
              <w:tc>
                <w:tcPr>
                  <w:tcW w:w="4118" w:type="dxa"/>
                  <w:noWrap w:val="0"/>
                  <w:vAlign w:val="center"/>
                </w:tcPr>
                <w:p>
                  <w:pPr>
                    <w:adjustRightInd w:val="0"/>
                    <w:snapToGrid w:val="0"/>
                    <w:jc w:val="center"/>
                    <w:rPr>
                      <w:color w:val="000000"/>
                      <w:szCs w:val="21"/>
                    </w:rPr>
                  </w:pPr>
                  <w:r>
                    <w:rPr>
                      <w:color w:val="000000"/>
                      <w:szCs w:val="21"/>
                    </w:rPr>
                    <w:t>禁止新建、扩建不符合国家产能置换要求的严重过剩产能行业的项目</w:t>
                  </w:r>
                </w:p>
              </w:tc>
              <w:tc>
                <w:tcPr>
                  <w:tcW w:w="1876" w:type="dxa"/>
                  <w:noWrap w:val="0"/>
                  <w:vAlign w:val="center"/>
                </w:tcPr>
                <w:p>
                  <w:pPr>
                    <w:adjustRightInd w:val="0"/>
                    <w:snapToGrid w:val="0"/>
                    <w:jc w:val="center"/>
                    <w:rPr>
                      <w:color w:val="000000"/>
                      <w:szCs w:val="21"/>
                    </w:rPr>
                  </w:pPr>
                  <w:r>
                    <w:rPr>
                      <w:color w:val="000000"/>
                      <w:szCs w:val="21"/>
                    </w:rPr>
                    <w:t>本项目不属于严重过剩产能行业</w:t>
                  </w:r>
                </w:p>
              </w:tc>
              <w:tc>
                <w:tcPr>
                  <w:tcW w:w="898" w:type="dxa"/>
                  <w:noWrap w:val="0"/>
                  <w:vAlign w:val="center"/>
                </w:tcPr>
                <w:p>
                  <w:pPr>
                    <w:adjustRightInd w:val="0"/>
                    <w:snapToGrid w:val="0"/>
                    <w:jc w:val="center"/>
                    <w:rPr>
                      <w:color w:val="000000"/>
                      <w:szCs w:val="21"/>
                    </w:rPr>
                  </w:pPr>
                  <w:r>
                    <w:rPr>
                      <w:color w:val="000000"/>
                      <w:szCs w:val="21"/>
                    </w:rPr>
                    <w:t>相符</w:t>
                  </w:r>
                </w:p>
              </w:tc>
            </w:tr>
          </w:tbl>
          <w:p>
            <w:pPr>
              <w:adjustRightInd w:val="0"/>
              <w:snapToGrid w:val="0"/>
              <w:spacing w:before="120" w:beforeLines="50" w:line="360" w:lineRule="auto"/>
              <w:ind w:firstLine="480" w:firstLineChars="200"/>
              <w:rPr>
                <w:color w:val="000000"/>
                <w:sz w:val="24"/>
              </w:rPr>
            </w:pPr>
            <w:r>
              <w:rPr>
                <w:rFonts w:hint="eastAsia"/>
                <w:color w:val="000000"/>
                <w:sz w:val="24"/>
              </w:rPr>
              <w:t>综上所述，本项目符合“三线一单”的要求。</w:t>
            </w:r>
          </w:p>
          <w:p>
            <w:pPr>
              <w:spacing w:line="360" w:lineRule="auto"/>
              <w:rPr>
                <w:b/>
                <w:bCs/>
                <w:color w:val="000000"/>
                <w:sz w:val="24"/>
              </w:rPr>
            </w:pPr>
            <w:r>
              <w:rPr>
                <w:rFonts w:hint="eastAsia"/>
                <w:b/>
                <w:bCs/>
                <w:color w:val="000000"/>
                <w:sz w:val="24"/>
              </w:rPr>
              <w:t>4、技术政策相符性</w:t>
            </w:r>
          </w:p>
          <w:p>
            <w:pPr>
              <w:adjustRightInd w:val="0"/>
              <w:snapToGrid w:val="0"/>
              <w:spacing w:line="360" w:lineRule="auto"/>
              <w:ind w:firstLine="482" w:firstLineChars="200"/>
              <w:rPr>
                <w:b/>
                <w:bCs/>
                <w:color w:val="000000"/>
                <w:sz w:val="24"/>
              </w:rPr>
            </w:pPr>
            <w:r>
              <w:rPr>
                <w:rFonts w:hint="eastAsia"/>
                <w:b/>
                <w:bCs/>
                <w:color w:val="000000"/>
                <w:sz w:val="24"/>
              </w:rPr>
              <w:t>（1）与地方文件相符性</w:t>
            </w:r>
          </w:p>
          <w:p>
            <w:pPr>
              <w:adjustRightInd w:val="0"/>
              <w:snapToGrid w:val="0"/>
              <w:spacing w:line="360" w:lineRule="auto"/>
              <w:ind w:firstLine="480" w:firstLineChars="200"/>
              <w:rPr>
                <w:b/>
                <w:bCs/>
                <w:color w:val="000000"/>
                <w:sz w:val="24"/>
              </w:rPr>
            </w:pPr>
            <w:r>
              <w:rPr>
                <w:rFonts w:hint="eastAsia"/>
                <w:color w:val="000000"/>
                <w:sz w:val="24"/>
              </w:rPr>
              <w:t>本项目建设与地方文件相符性分析见表1-6。</w:t>
            </w:r>
          </w:p>
          <w:p>
            <w:pPr>
              <w:adjustRightInd w:val="0"/>
              <w:snapToGrid w:val="0"/>
              <w:jc w:val="center"/>
              <w:rPr>
                <w:b/>
                <w:bCs/>
                <w:color w:val="000000"/>
                <w:sz w:val="24"/>
              </w:rPr>
            </w:pPr>
            <w:r>
              <w:rPr>
                <w:rFonts w:hint="eastAsia"/>
                <w:b/>
                <w:bCs/>
                <w:color w:val="000000"/>
                <w:sz w:val="24"/>
              </w:rPr>
              <w:t>表1-6  项目与地方文件相符性分析</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2898"/>
              <w:gridCol w:w="2863"/>
              <w:gridCol w:w="7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noWrap w:val="0"/>
                  <w:vAlign w:val="center"/>
                </w:tcPr>
                <w:p>
                  <w:pPr>
                    <w:pStyle w:val="44"/>
                    <w:adjustRightInd w:val="0"/>
                    <w:snapToGrid w:val="0"/>
                    <w:spacing w:line="240" w:lineRule="auto"/>
                    <w:rPr>
                      <w:rFonts w:eastAsia="宋体"/>
                      <w:b/>
                      <w:color w:val="000000"/>
                      <w:szCs w:val="21"/>
                    </w:rPr>
                  </w:pPr>
                  <w:r>
                    <w:rPr>
                      <w:rFonts w:eastAsia="宋体"/>
                      <w:b/>
                      <w:color w:val="000000"/>
                      <w:szCs w:val="21"/>
                    </w:rPr>
                    <w:t>文件</w:t>
                  </w:r>
                </w:p>
              </w:tc>
              <w:tc>
                <w:tcPr>
                  <w:tcW w:w="1916" w:type="pct"/>
                  <w:noWrap w:val="0"/>
                  <w:vAlign w:val="center"/>
                </w:tcPr>
                <w:p>
                  <w:pPr>
                    <w:pStyle w:val="44"/>
                    <w:adjustRightInd w:val="0"/>
                    <w:snapToGrid w:val="0"/>
                    <w:spacing w:line="240" w:lineRule="auto"/>
                    <w:rPr>
                      <w:rFonts w:eastAsia="宋体"/>
                      <w:b/>
                      <w:color w:val="000000"/>
                      <w:szCs w:val="21"/>
                    </w:rPr>
                  </w:pPr>
                  <w:r>
                    <w:rPr>
                      <w:rFonts w:eastAsia="宋体"/>
                      <w:b/>
                      <w:color w:val="000000"/>
                      <w:szCs w:val="21"/>
                    </w:rPr>
                    <w:t>与项目相关要求</w:t>
                  </w:r>
                </w:p>
              </w:tc>
              <w:tc>
                <w:tcPr>
                  <w:tcW w:w="1893" w:type="pct"/>
                  <w:noWrap w:val="0"/>
                  <w:vAlign w:val="center"/>
                </w:tcPr>
                <w:p>
                  <w:pPr>
                    <w:pStyle w:val="44"/>
                    <w:adjustRightInd w:val="0"/>
                    <w:snapToGrid w:val="0"/>
                    <w:spacing w:line="240" w:lineRule="auto"/>
                    <w:rPr>
                      <w:rFonts w:eastAsia="宋体"/>
                      <w:b/>
                      <w:color w:val="000000"/>
                      <w:szCs w:val="21"/>
                    </w:rPr>
                  </w:pPr>
                  <w:r>
                    <w:rPr>
                      <w:rFonts w:eastAsia="宋体"/>
                      <w:b/>
                      <w:color w:val="000000"/>
                      <w:szCs w:val="21"/>
                    </w:rPr>
                    <w:t>本项目相符性分析</w:t>
                  </w:r>
                </w:p>
              </w:tc>
              <w:tc>
                <w:tcPr>
                  <w:tcW w:w="519" w:type="pct"/>
                  <w:noWrap w:val="0"/>
                  <w:vAlign w:val="center"/>
                </w:tcPr>
                <w:p>
                  <w:pPr>
                    <w:pStyle w:val="44"/>
                    <w:adjustRightInd w:val="0"/>
                    <w:snapToGrid w:val="0"/>
                    <w:spacing w:line="240" w:lineRule="auto"/>
                    <w:rPr>
                      <w:rFonts w:eastAsia="宋体"/>
                      <w:b/>
                      <w:color w:val="000000"/>
                      <w:szCs w:val="21"/>
                    </w:rPr>
                  </w:pPr>
                  <w:r>
                    <w:rPr>
                      <w:rFonts w:eastAsia="宋体"/>
                      <w:b/>
                      <w:color w:val="000000"/>
                      <w:szCs w:val="21"/>
                    </w:rPr>
                    <w:t>是否相符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vMerge w:val="restart"/>
                  <w:noWrap w:val="0"/>
                  <w:vAlign w:val="center"/>
                </w:tcPr>
                <w:p>
                  <w:pPr>
                    <w:pStyle w:val="44"/>
                    <w:adjustRightInd w:val="0"/>
                    <w:snapToGrid w:val="0"/>
                    <w:spacing w:line="240" w:lineRule="auto"/>
                    <w:rPr>
                      <w:rFonts w:eastAsia="宋体"/>
                      <w:b/>
                      <w:color w:val="000000"/>
                      <w:szCs w:val="21"/>
                    </w:rPr>
                  </w:pPr>
                  <w:r>
                    <w:rPr>
                      <w:rFonts w:hint="eastAsia" w:eastAsia="宋体"/>
                      <w:b/>
                      <w:color w:val="000000"/>
                      <w:szCs w:val="21"/>
                    </w:rPr>
                    <w:t>《</w:t>
                  </w:r>
                  <w:r>
                    <w:rPr>
                      <w:rFonts w:eastAsia="宋体"/>
                      <w:b/>
                      <w:color w:val="000000"/>
                      <w:szCs w:val="21"/>
                    </w:rPr>
                    <w:t>江苏省大气污染物防治条例</w:t>
                  </w:r>
                  <w:r>
                    <w:rPr>
                      <w:rFonts w:hint="eastAsia" w:eastAsia="宋体"/>
                      <w:b/>
                      <w:color w:val="000000"/>
                      <w:szCs w:val="21"/>
                    </w:rPr>
                    <w:t>》</w:t>
                  </w:r>
                </w:p>
              </w:tc>
              <w:tc>
                <w:tcPr>
                  <w:tcW w:w="1916" w:type="pct"/>
                  <w:noWrap w:val="0"/>
                  <w:vAlign w:val="center"/>
                </w:tcPr>
                <w:p>
                  <w:pPr>
                    <w:pStyle w:val="44"/>
                    <w:adjustRightInd w:val="0"/>
                    <w:snapToGrid w:val="0"/>
                    <w:spacing w:line="240" w:lineRule="auto"/>
                    <w:rPr>
                      <w:rFonts w:eastAsia="宋体"/>
                      <w:color w:val="000000"/>
                      <w:szCs w:val="21"/>
                    </w:rPr>
                  </w:pPr>
                  <w:r>
                    <w:rPr>
                      <w:rFonts w:eastAsia="宋体"/>
                      <w:color w:val="000000"/>
                      <w:szCs w:val="21"/>
                    </w:rPr>
                    <w:t>禁止使用列入淘汰名录的高污染工艺设备。淘汰的高污染工艺设备，企业不得转让给他人使用</w:t>
                  </w:r>
                  <w:r>
                    <w:rPr>
                      <w:rFonts w:hint="eastAsia" w:eastAsia="宋体"/>
                      <w:color w:val="000000"/>
                      <w:szCs w:val="21"/>
                    </w:rPr>
                    <w:t>。</w:t>
                  </w:r>
                </w:p>
              </w:tc>
              <w:tc>
                <w:tcPr>
                  <w:tcW w:w="1893" w:type="pct"/>
                  <w:noWrap w:val="0"/>
                  <w:vAlign w:val="center"/>
                </w:tcPr>
                <w:p>
                  <w:pPr>
                    <w:pStyle w:val="44"/>
                    <w:adjustRightInd w:val="0"/>
                    <w:snapToGrid w:val="0"/>
                    <w:spacing w:line="24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项目不使用淘汰的高污染工艺设备</w:t>
                  </w:r>
                </w:p>
              </w:tc>
              <w:tc>
                <w:tcPr>
                  <w:tcW w:w="519" w:type="pct"/>
                  <w:noWrap w:val="0"/>
                  <w:vAlign w:val="center"/>
                </w:tcPr>
                <w:p>
                  <w:pPr>
                    <w:pStyle w:val="44"/>
                    <w:adjustRightInd w:val="0"/>
                    <w:snapToGrid w:val="0"/>
                    <w:spacing w:line="24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vMerge w:val="continue"/>
                  <w:noWrap w:val="0"/>
                  <w:vAlign w:val="center"/>
                </w:tcPr>
                <w:p>
                  <w:pPr>
                    <w:pStyle w:val="44"/>
                    <w:adjustRightInd w:val="0"/>
                    <w:snapToGrid w:val="0"/>
                    <w:spacing w:line="240" w:lineRule="auto"/>
                    <w:rPr>
                      <w:rFonts w:eastAsia="宋体"/>
                      <w:b/>
                      <w:color w:val="000000"/>
                      <w:szCs w:val="21"/>
                    </w:rPr>
                  </w:pPr>
                </w:p>
              </w:tc>
              <w:tc>
                <w:tcPr>
                  <w:tcW w:w="1916" w:type="pct"/>
                  <w:noWrap w:val="0"/>
                  <w:vAlign w:val="center"/>
                </w:tcPr>
                <w:p>
                  <w:pPr>
                    <w:pStyle w:val="44"/>
                    <w:adjustRightInd w:val="0"/>
                    <w:snapToGrid w:val="0"/>
                    <w:spacing w:line="240" w:lineRule="auto"/>
                    <w:rPr>
                      <w:rFonts w:eastAsia="宋体"/>
                      <w:color w:val="000000"/>
                      <w:szCs w:val="21"/>
                    </w:rPr>
                  </w:pPr>
                  <w:r>
                    <w:rPr>
                      <w:rFonts w:eastAsia="宋体"/>
                      <w:color w:val="000000"/>
                      <w:szCs w:val="21"/>
                    </w:rPr>
                    <w:t>企业应当使用资源利用率高、污染物排放量少的工艺、设备，采用最佳实用大气污染控制技术，减少大气污染物的产生</w:t>
                  </w:r>
                  <w:r>
                    <w:rPr>
                      <w:rFonts w:hint="eastAsia" w:eastAsia="宋体"/>
                      <w:color w:val="000000"/>
                      <w:szCs w:val="21"/>
                    </w:rPr>
                    <w:t>。</w:t>
                  </w:r>
                </w:p>
              </w:tc>
              <w:tc>
                <w:tcPr>
                  <w:tcW w:w="1893" w:type="pct"/>
                  <w:noWrap w:val="0"/>
                  <w:vAlign w:val="center"/>
                </w:tcPr>
                <w:p>
                  <w:pPr>
                    <w:pStyle w:val="44"/>
                    <w:adjustRightInd w:val="0"/>
                    <w:snapToGrid w:val="0"/>
                    <w:spacing w:line="240" w:lineRule="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项目无废气产生</w:t>
                  </w:r>
                </w:p>
              </w:tc>
              <w:tc>
                <w:tcPr>
                  <w:tcW w:w="519" w:type="pct"/>
                  <w:noWrap w:val="0"/>
                  <w:vAlign w:val="center"/>
                </w:tcPr>
                <w:p>
                  <w:pPr>
                    <w:pStyle w:val="44"/>
                    <w:adjustRightInd w:val="0"/>
                    <w:snapToGrid w:val="0"/>
                    <w:spacing w:line="24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vMerge w:val="continue"/>
                  <w:noWrap w:val="0"/>
                  <w:vAlign w:val="center"/>
                </w:tcPr>
                <w:p>
                  <w:pPr>
                    <w:pStyle w:val="44"/>
                    <w:adjustRightInd w:val="0"/>
                    <w:snapToGrid w:val="0"/>
                    <w:spacing w:line="240" w:lineRule="auto"/>
                    <w:rPr>
                      <w:rFonts w:eastAsia="宋体"/>
                      <w:b/>
                      <w:color w:val="000000"/>
                      <w:szCs w:val="21"/>
                    </w:rPr>
                  </w:pPr>
                </w:p>
              </w:tc>
              <w:tc>
                <w:tcPr>
                  <w:tcW w:w="1916" w:type="pct"/>
                  <w:noWrap w:val="0"/>
                  <w:vAlign w:val="center"/>
                </w:tcPr>
                <w:p>
                  <w:pPr>
                    <w:pStyle w:val="44"/>
                    <w:adjustRightInd w:val="0"/>
                    <w:snapToGrid w:val="0"/>
                    <w:spacing w:line="240" w:lineRule="auto"/>
                    <w:rPr>
                      <w:rFonts w:hint="eastAsia" w:eastAsia="宋体"/>
                      <w:color w:val="000000"/>
                      <w:szCs w:val="21"/>
                    </w:rPr>
                  </w:pPr>
                  <w:r>
                    <w:rPr>
                      <w:rFonts w:eastAsia="宋体"/>
                      <w:color w:val="000000"/>
                      <w:szCs w:val="21"/>
                    </w:rPr>
                    <w:t>产生挥发性有机物废气的生产经营活动，应当在密闭空间或者设备中进行，并设置废气收集和处理系统等污染防治设施，保持其正常使用</w:t>
                  </w:r>
                  <w:r>
                    <w:rPr>
                      <w:rFonts w:hint="eastAsia" w:eastAsia="宋体"/>
                      <w:color w:val="000000"/>
                      <w:szCs w:val="21"/>
                    </w:rPr>
                    <w:t>。</w:t>
                  </w:r>
                </w:p>
              </w:tc>
              <w:tc>
                <w:tcPr>
                  <w:tcW w:w="1893" w:type="pct"/>
                  <w:noWrap w:val="0"/>
                  <w:vAlign w:val="center"/>
                </w:tcPr>
                <w:p>
                  <w:pPr>
                    <w:pStyle w:val="44"/>
                    <w:adjustRightInd w:val="0"/>
                    <w:snapToGrid w:val="0"/>
                    <w:spacing w:line="240" w:lineRule="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项目无废气产生</w:t>
                  </w:r>
                </w:p>
              </w:tc>
              <w:tc>
                <w:tcPr>
                  <w:tcW w:w="519" w:type="pct"/>
                  <w:noWrap w:val="0"/>
                  <w:vAlign w:val="center"/>
                </w:tcPr>
                <w:p>
                  <w:pPr>
                    <w:pStyle w:val="44"/>
                    <w:adjustRightInd w:val="0"/>
                    <w:snapToGrid w:val="0"/>
                    <w:spacing w:line="24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noWrap w:val="0"/>
                  <w:vAlign w:val="center"/>
                </w:tcPr>
                <w:p>
                  <w:pPr>
                    <w:pStyle w:val="44"/>
                    <w:adjustRightInd w:val="0"/>
                    <w:snapToGrid w:val="0"/>
                    <w:spacing w:line="240" w:lineRule="auto"/>
                    <w:rPr>
                      <w:rFonts w:eastAsia="宋体"/>
                      <w:b/>
                      <w:color w:val="000000"/>
                      <w:szCs w:val="21"/>
                    </w:rPr>
                  </w:pPr>
                  <w:r>
                    <w:rPr>
                      <w:rFonts w:eastAsia="宋体"/>
                      <w:b/>
                      <w:color w:val="000000"/>
                      <w:szCs w:val="21"/>
                    </w:rPr>
                    <w:t>《江苏省打赢蓝天保卫战三年行动计划实施方案》</w:t>
                  </w:r>
                </w:p>
              </w:tc>
              <w:tc>
                <w:tcPr>
                  <w:tcW w:w="1916" w:type="pct"/>
                  <w:noWrap w:val="0"/>
                  <w:vAlign w:val="center"/>
                </w:tcPr>
                <w:p>
                  <w:pPr>
                    <w:pStyle w:val="44"/>
                    <w:adjustRightInd w:val="0"/>
                    <w:snapToGrid w:val="0"/>
                    <w:spacing w:line="240" w:lineRule="auto"/>
                    <w:rPr>
                      <w:rFonts w:eastAsia="宋体"/>
                      <w:color w:val="000000"/>
                      <w:szCs w:val="21"/>
                    </w:rPr>
                  </w:pPr>
                  <w:r>
                    <w:rPr>
                      <w:rFonts w:eastAsia="宋体"/>
                      <w:color w:val="000000"/>
                      <w:szCs w:val="21"/>
                    </w:rPr>
                    <w:t>全省范围内二氧化硫、氮氧化物、颗粒物、VOCs全面执行大气污染物特别排放限值</w:t>
                  </w:r>
                </w:p>
              </w:tc>
              <w:tc>
                <w:tcPr>
                  <w:tcW w:w="1893" w:type="pct"/>
                  <w:noWrap w:val="0"/>
                  <w:vAlign w:val="center"/>
                </w:tcPr>
                <w:p>
                  <w:pPr>
                    <w:pStyle w:val="44"/>
                    <w:adjustRightInd w:val="0"/>
                    <w:snapToGrid w:val="0"/>
                    <w:spacing w:line="240" w:lineRule="auto"/>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项目无废气产生</w:t>
                  </w:r>
                </w:p>
              </w:tc>
              <w:tc>
                <w:tcPr>
                  <w:tcW w:w="519" w:type="pct"/>
                  <w:noWrap w:val="0"/>
                  <w:vAlign w:val="center"/>
                </w:tcPr>
                <w:p>
                  <w:pPr>
                    <w:pStyle w:val="44"/>
                    <w:adjustRightInd w:val="0"/>
                    <w:snapToGrid w:val="0"/>
                    <w:spacing w:line="24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noWrap w:val="0"/>
                  <w:vAlign w:val="center"/>
                </w:tcPr>
                <w:p>
                  <w:pPr>
                    <w:pStyle w:val="44"/>
                    <w:adjustRightInd w:val="0"/>
                    <w:snapToGrid w:val="0"/>
                    <w:spacing w:line="240" w:lineRule="auto"/>
                    <w:rPr>
                      <w:rFonts w:eastAsia="宋体"/>
                      <w:b/>
                      <w:color w:val="000000"/>
                      <w:szCs w:val="21"/>
                    </w:rPr>
                  </w:pPr>
                  <w:r>
                    <w:rPr>
                      <w:rFonts w:eastAsia="宋体"/>
                      <w:b/>
                      <w:color w:val="000000"/>
                      <w:szCs w:val="21"/>
                    </w:rPr>
                    <w:t>《江苏省重点行业挥发性有机物污染控制指南》</w:t>
                  </w:r>
                </w:p>
              </w:tc>
              <w:tc>
                <w:tcPr>
                  <w:tcW w:w="1916" w:type="pct"/>
                  <w:noWrap w:val="0"/>
                  <w:vAlign w:val="center"/>
                </w:tcPr>
                <w:p>
                  <w:pPr>
                    <w:pStyle w:val="44"/>
                    <w:adjustRightInd w:val="0"/>
                    <w:snapToGrid w:val="0"/>
                    <w:spacing w:line="240" w:lineRule="auto"/>
                    <w:rPr>
                      <w:rFonts w:eastAsia="宋体"/>
                      <w:color w:val="000000"/>
                      <w:szCs w:val="21"/>
                    </w:rPr>
                  </w:pPr>
                  <w:r>
                    <w:rPr>
                      <w:rFonts w:eastAsia="宋体"/>
                      <w:color w:val="000000"/>
                      <w:szCs w:val="21"/>
                    </w:rPr>
                    <w:t>对浓度、性状差异较大的废气应分类收集，并采用适宜的方式进行有效处理，确保VOCs总去除效率满足管理要求，其中有机化工、医药化工、橡胶和塑料制品（有溶剂浸胶工艺）、溶剂型涂料表面涂装、包装印刷业的VOCs总收集、净化处理率均不低于90%，其他行业原则上不低于75%。</w:t>
                  </w:r>
                </w:p>
              </w:tc>
              <w:tc>
                <w:tcPr>
                  <w:tcW w:w="1893" w:type="pct"/>
                  <w:noWrap w:val="0"/>
                  <w:vAlign w:val="center"/>
                </w:tcPr>
                <w:p>
                  <w:pPr>
                    <w:pStyle w:val="44"/>
                    <w:adjustRightInd w:val="0"/>
                    <w:snapToGrid w:val="0"/>
                    <w:spacing w:line="240" w:lineRule="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项目无废气产生</w:t>
                  </w:r>
                </w:p>
              </w:tc>
              <w:tc>
                <w:tcPr>
                  <w:tcW w:w="519" w:type="pct"/>
                  <w:noWrap w:val="0"/>
                  <w:vAlign w:val="center"/>
                </w:tcPr>
                <w:p>
                  <w:pPr>
                    <w:pStyle w:val="44"/>
                    <w:adjustRightInd w:val="0"/>
                    <w:snapToGrid w:val="0"/>
                    <w:spacing w:line="24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noWrap w:val="0"/>
                  <w:vAlign w:val="center"/>
                </w:tcPr>
                <w:p>
                  <w:pPr>
                    <w:pStyle w:val="44"/>
                    <w:adjustRightInd w:val="0"/>
                    <w:snapToGrid w:val="0"/>
                    <w:spacing w:line="240" w:lineRule="auto"/>
                    <w:rPr>
                      <w:rFonts w:eastAsia="宋体"/>
                      <w:b/>
                      <w:color w:val="000000"/>
                      <w:szCs w:val="21"/>
                    </w:rPr>
                  </w:pPr>
                  <w:r>
                    <w:rPr>
                      <w:rFonts w:eastAsia="宋体"/>
                      <w:b/>
                      <w:bCs/>
                      <w:color w:val="000000"/>
                      <w:szCs w:val="21"/>
                    </w:rPr>
                    <w:t>《重点行业挥发性有机物综合治理方案》</w:t>
                  </w:r>
                </w:p>
              </w:tc>
              <w:tc>
                <w:tcPr>
                  <w:tcW w:w="1916" w:type="pct"/>
                  <w:noWrap w:val="0"/>
                  <w:vAlign w:val="center"/>
                </w:tcPr>
                <w:p>
                  <w:pPr>
                    <w:pStyle w:val="44"/>
                    <w:adjustRightInd w:val="0"/>
                    <w:snapToGrid w:val="0"/>
                    <w:spacing w:line="240" w:lineRule="auto"/>
                    <w:rPr>
                      <w:rFonts w:eastAsia="宋体"/>
                      <w:color w:val="000000"/>
                      <w:szCs w:val="21"/>
                    </w:rPr>
                  </w:pPr>
                  <w:r>
                    <w:rPr>
                      <w:rFonts w:hint="eastAsia" w:eastAsia="宋体"/>
                      <w:color w:val="000000"/>
                      <w:szCs w:val="21"/>
                    </w:rPr>
                    <w:t>遵循“应收尽收、分质收集”的原则，科学设计废气收集系统，将无组织排放转变为有组织排放进行控制。</w:t>
                  </w:r>
                </w:p>
              </w:tc>
              <w:tc>
                <w:tcPr>
                  <w:tcW w:w="1893" w:type="pct"/>
                  <w:noWrap w:val="0"/>
                  <w:vAlign w:val="center"/>
                </w:tcPr>
                <w:p>
                  <w:pPr>
                    <w:pStyle w:val="44"/>
                    <w:adjustRightInd w:val="0"/>
                    <w:snapToGrid w:val="0"/>
                    <w:spacing w:line="240" w:lineRule="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项目无废气产生</w:t>
                  </w:r>
                </w:p>
              </w:tc>
              <w:tc>
                <w:tcPr>
                  <w:tcW w:w="519" w:type="pct"/>
                  <w:noWrap w:val="0"/>
                  <w:vAlign w:val="center"/>
                </w:tcPr>
                <w:p>
                  <w:pPr>
                    <w:pStyle w:val="44"/>
                    <w:adjustRightInd w:val="0"/>
                    <w:snapToGrid w:val="0"/>
                    <w:spacing w:line="24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vMerge w:val="restart"/>
                  <w:noWrap w:val="0"/>
                  <w:vAlign w:val="center"/>
                </w:tcPr>
                <w:p>
                  <w:pPr>
                    <w:pStyle w:val="44"/>
                    <w:adjustRightInd w:val="0"/>
                    <w:snapToGrid w:val="0"/>
                    <w:spacing w:line="240" w:lineRule="auto"/>
                    <w:rPr>
                      <w:rFonts w:hint="eastAsia" w:eastAsia="宋体"/>
                      <w:b/>
                      <w:bCs/>
                      <w:color w:val="000000"/>
                      <w:szCs w:val="21"/>
                    </w:rPr>
                  </w:pPr>
                  <w:r>
                    <w:rPr>
                      <w:rFonts w:hint="eastAsia" w:eastAsia="宋体"/>
                      <w:b/>
                      <w:bCs/>
                      <w:color w:val="000000"/>
                      <w:szCs w:val="21"/>
                    </w:rPr>
                    <w:t>《2021年常州市深入打好污染防治攻坚战工作方案》</w:t>
                  </w:r>
                </w:p>
              </w:tc>
              <w:tc>
                <w:tcPr>
                  <w:tcW w:w="1916" w:type="pct"/>
                  <w:noWrap w:val="0"/>
                  <w:vAlign w:val="center"/>
                </w:tcPr>
                <w:p>
                  <w:pPr>
                    <w:pStyle w:val="44"/>
                    <w:adjustRightInd w:val="0"/>
                    <w:snapToGrid w:val="0"/>
                    <w:spacing w:line="240" w:lineRule="auto"/>
                    <w:rPr>
                      <w:rFonts w:hint="eastAsia" w:eastAsia="宋体"/>
                      <w:color w:val="000000"/>
                      <w:szCs w:val="21"/>
                    </w:rPr>
                  </w:pPr>
                  <w:r>
                    <w:rPr>
                      <w:rFonts w:hint="eastAsia" w:eastAsia="宋体"/>
                      <w:color w:val="000000"/>
                      <w:szCs w:val="21"/>
                    </w:rPr>
                    <w:t>推广实施《低挥发性有机化合物含量涂料产品技术要求》(GB/T38597-2020)，完成低挥发性有机物等原辅料源头替代项目50个以上。</w:t>
                  </w:r>
                </w:p>
              </w:tc>
              <w:tc>
                <w:tcPr>
                  <w:tcW w:w="1893" w:type="pct"/>
                  <w:noWrap w:val="0"/>
                  <w:vAlign w:val="center"/>
                </w:tcPr>
                <w:p>
                  <w:pPr>
                    <w:pStyle w:val="44"/>
                    <w:adjustRightInd w:val="0"/>
                    <w:snapToGrid w:val="0"/>
                    <w:spacing w:line="24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项目建设不使用挥发性有机物含量涂料</w:t>
                  </w:r>
                </w:p>
              </w:tc>
              <w:tc>
                <w:tcPr>
                  <w:tcW w:w="519" w:type="pct"/>
                  <w:noWrap w:val="0"/>
                  <w:vAlign w:val="center"/>
                </w:tcPr>
                <w:p>
                  <w:pPr>
                    <w:pStyle w:val="44"/>
                    <w:adjustRightInd w:val="0"/>
                    <w:snapToGrid w:val="0"/>
                    <w:spacing w:line="24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vMerge w:val="continue"/>
                  <w:noWrap w:val="0"/>
                  <w:vAlign w:val="center"/>
                </w:tcPr>
                <w:p>
                  <w:pPr>
                    <w:pStyle w:val="44"/>
                    <w:adjustRightInd w:val="0"/>
                    <w:snapToGrid w:val="0"/>
                    <w:spacing w:line="240" w:lineRule="auto"/>
                  </w:pPr>
                </w:p>
              </w:tc>
              <w:tc>
                <w:tcPr>
                  <w:tcW w:w="1916" w:type="pct"/>
                  <w:noWrap w:val="0"/>
                  <w:vAlign w:val="center"/>
                </w:tcPr>
                <w:p>
                  <w:pPr>
                    <w:pStyle w:val="44"/>
                    <w:adjustRightInd w:val="0"/>
                    <w:snapToGrid w:val="0"/>
                    <w:spacing w:line="240" w:lineRule="auto"/>
                    <w:rPr>
                      <w:rFonts w:hint="eastAsia" w:eastAsia="宋体"/>
                      <w:color w:val="000000"/>
                      <w:szCs w:val="21"/>
                    </w:rPr>
                  </w:pPr>
                  <w:r>
                    <w:rPr>
                      <w:rFonts w:hint="eastAsia" w:eastAsia="宋体"/>
                      <w:color w:val="000000"/>
                      <w:szCs w:val="21"/>
                    </w:rPr>
                    <w:t>工业园区和重点行业企业污水稳定达标排放，实现雨污分流、清污分流。</w:t>
                  </w:r>
                </w:p>
              </w:tc>
              <w:tc>
                <w:tcPr>
                  <w:tcW w:w="1893" w:type="pct"/>
                  <w:noWrap w:val="0"/>
                  <w:vAlign w:val="center"/>
                </w:tcPr>
                <w:p>
                  <w:pPr>
                    <w:pStyle w:val="44"/>
                    <w:adjustRightInd w:val="0"/>
                    <w:snapToGrid w:val="0"/>
                    <w:spacing w:line="24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项目所在金坛经济开发区源于已实施雨污分流、清污分流</w:t>
                  </w:r>
                </w:p>
              </w:tc>
              <w:tc>
                <w:tcPr>
                  <w:tcW w:w="519" w:type="pct"/>
                  <w:noWrap w:val="0"/>
                  <w:vAlign w:val="center"/>
                </w:tcPr>
                <w:p>
                  <w:pPr>
                    <w:pStyle w:val="44"/>
                    <w:adjustRightInd w:val="0"/>
                    <w:snapToGrid w:val="0"/>
                    <w:spacing w:line="24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vMerge w:val="continue"/>
                  <w:noWrap w:val="0"/>
                  <w:vAlign w:val="center"/>
                </w:tcPr>
                <w:p>
                  <w:pPr>
                    <w:pStyle w:val="44"/>
                    <w:adjustRightInd w:val="0"/>
                    <w:snapToGrid w:val="0"/>
                    <w:spacing w:line="240" w:lineRule="auto"/>
                    <w:rPr>
                      <w:rFonts w:hint="eastAsia" w:eastAsia="宋体"/>
                      <w:color w:val="000000"/>
                      <w:szCs w:val="21"/>
                    </w:rPr>
                  </w:pPr>
                </w:p>
              </w:tc>
              <w:tc>
                <w:tcPr>
                  <w:tcW w:w="1916" w:type="pct"/>
                  <w:noWrap w:val="0"/>
                  <w:vAlign w:val="center"/>
                </w:tcPr>
                <w:p>
                  <w:pPr>
                    <w:pStyle w:val="44"/>
                    <w:adjustRightInd w:val="0"/>
                    <w:snapToGrid w:val="0"/>
                    <w:spacing w:line="240" w:lineRule="auto"/>
                    <w:rPr>
                      <w:rFonts w:hint="eastAsia" w:eastAsia="宋体"/>
                      <w:color w:val="000000"/>
                      <w:szCs w:val="21"/>
                    </w:rPr>
                  </w:pPr>
                  <w:r>
                    <w:rPr>
                      <w:rFonts w:hint="eastAsia" w:eastAsia="宋体"/>
                      <w:color w:val="000000"/>
                      <w:szCs w:val="21"/>
                    </w:rPr>
                    <w:t>深入打击和遏制危险废物非法转移倾倒等环境违法犯罪行为，建立问题清单，实行销号管理。</w:t>
                  </w:r>
                </w:p>
              </w:tc>
              <w:tc>
                <w:tcPr>
                  <w:tcW w:w="1893" w:type="pct"/>
                  <w:noWrap w:val="0"/>
                  <w:vAlign w:val="center"/>
                </w:tcPr>
                <w:p>
                  <w:pPr>
                    <w:pStyle w:val="44"/>
                    <w:adjustRightInd w:val="0"/>
                    <w:snapToGrid w:val="0"/>
                    <w:spacing w:line="24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项目产生的危险废物收集后暂存于危险废物仓库，定期委托有资质单位处置</w:t>
                  </w:r>
                </w:p>
              </w:tc>
              <w:tc>
                <w:tcPr>
                  <w:tcW w:w="519" w:type="pct"/>
                  <w:noWrap w:val="0"/>
                  <w:vAlign w:val="center"/>
                </w:tcPr>
                <w:p>
                  <w:pPr>
                    <w:pStyle w:val="44"/>
                    <w:adjustRightInd w:val="0"/>
                    <w:snapToGrid w:val="0"/>
                    <w:spacing w:line="24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noWrap w:val="0"/>
                  <w:vAlign w:val="center"/>
                </w:tcPr>
                <w:p>
                  <w:pPr>
                    <w:pStyle w:val="44"/>
                    <w:adjustRightInd w:val="0"/>
                    <w:snapToGrid w:val="0"/>
                    <w:spacing w:line="240" w:lineRule="auto"/>
                    <w:rPr>
                      <w:rFonts w:hint="eastAsia" w:eastAsia="宋体"/>
                      <w:b/>
                      <w:bCs/>
                      <w:color w:val="000000"/>
                      <w:szCs w:val="21"/>
                    </w:rPr>
                  </w:pPr>
                  <w:r>
                    <w:rPr>
                      <w:rFonts w:hint="eastAsia" w:eastAsia="宋体"/>
                      <w:b/>
                      <w:bCs/>
                      <w:color w:val="000000"/>
                      <w:szCs w:val="21"/>
                    </w:rPr>
                    <w:t>《江苏省挥发性有机物清洁原料替代工作方案》</w:t>
                  </w:r>
                </w:p>
              </w:tc>
              <w:tc>
                <w:tcPr>
                  <w:tcW w:w="1916" w:type="pct"/>
                  <w:noWrap w:val="0"/>
                  <w:vAlign w:val="center"/>
                </w:tcPr>
                <w:p>
                  <w:pPr>
                    <w:pStyle w:val="44"/>
                    <w:adjustRightInd w:val="0"/>
                    <w:snapToGrid w:val="0"/>
                    <w:spacing w:line="240" w:lineRule="auto"/>
                    <w:rPr>
                      <w:rFonts w:hint="eastAsia" w:eastAsia="宋体"/>
                      <w:color w:val="000000"/>
                      <w:szCs w:val="21"/>
                    </w:rPr>
                  </w:pPr>
                  <w:r>
                    <w:rPr>
                      <w:rFonts w:hint="eastAsia" w:eastAsia="宋体"/>
                      <w:color w:val="000000"/>
                      <w:szCs w:val="21"/>
                    </w:rPr>
                    <w:t>禁止建设生产和使用高VOCs含量的涂料、油墨、胶黏剂等项目。</w:t>
                  </w:r>
                </w:p>
              </w:tc>
              <w:tc>
                <w:tcPr>
                  <w:tcW w:w="1893" w:type="pct"/>
                  <w:noWrap w:val="0"/>
                  <w:vAlign w:val="center"/>
                </w:tcPr>
                <w:p>
                  <w:pPr>
                    <w:pStyle w:val="44"/>
                    <w:adjustRightInd w:val="0"/>
                    <w:snapToGrid w:val="0"/>
                    <w:spacing w:line="240" w:lineRule="auto"/>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rPr>
                    <w:t>项目建设不涉及生产和使用高VOCs含量的涂料、油墨、胶黏剂等</w:t>
                  </w:r>
                </w:p>
              </w:tc>
              <w:tc>
                <w:tcPr>
                  <w:tcW w:w="519" w:type="pct"/>
                  <w:noWrap w:val="0"/>
                  <w:vAlign w:val="center"/>
                </w:tcPr>
                <w:p>
                  <w:pPr>
                    <w:pStyle w:val="44"/>
                    <w:adjustRightInd w:val="0"/>
                    <w:snapToGrid w:val="0"/>
                    <w:spacing w:line="24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noWrap w:val="0"/>
                  <w:vAlign w:val="center"/>
                </w:tcPr>
                <w:p>
                  <w:pPr>
                    <w:pStyle w:val="44"/>
                    <w:adjustRightInd w:val="0"/>
                    <w:snapToGrid w:val="0"/>
                    <w:spacing w:line="240" w:lineRule="auto"/>
                    <w:rPr>
                      <w:rFonts w:hint="eastAsia" w:eastAsia="宋体"/>
                      <w:b/>
                      <w:bCs/>
                      <w:color w:val="000000"/>
                      <w:szCs w:val="21"/>
                    </w:rPr>
                  </w:pPr>
                  <w:r>
                    <w:rPr>
                      <w:rFonts w:hint="eastAsia" w:eastAsia="宋体"/>
                      <w:b/>
                      <w:bCs/>
                      <w:color w:val="000000"/>
                      <w:szCs w:val="21"/>
                    </w:rPr>
                    <w:t>《关于印发常州市挥发性有机物清洁原料替代工作方案的通知》</w:t>
                  </w:r>
                </w:p>
              </w:tc>
              <w:tc>
                <w:tcPr>
                  <w:tcW w:w="1916" w:type="pct"/>
                  <w:noWrap w:val="0"/>
                  <w:vAlign w:val="center"/>
                </w:tcPr>
                <w:p>
                  <w:pPr>
                    <w:pStyle w:val="44"/>
                    <w:adjustRightInd w:val="0"/>
                    <w:snapToGrid w:val="0"/>
                    <w:spacing w:line="240" w:lineRule="auto"/>
                    <w:rPr>
                      <w:rFonts w:hint="eastAsia" w:eastAsia="宋体"/>
                      <w:color w:val="000000"/>
                      <w:szCs w:val="21"/>
                    </w:rPr>
                  </w:pPr>
                  <w:r>
                    <w:rPr>
                      <w:rFonts w:hint="eastAsia" w:eastAsia="宋体"/>
                      <w:color w:val="000000"/>
                      <w:szCs w:val="21"/>
                    </w:rPr>
                    <w:t>禁止建设生产和使用高VOCs含量的涂料、油墨、胶黏剂等项目。</w:t>
                  </w:r>
                </w:p>
              </w:tc>
              <w:tc>
                <w:tcPr>
                  <w:tcW w:w="1893" w:type="pct"/>
                  <w:noWrap w:val="0"/>
                  <w:vAlign w:val="center"/>
                </w:tcPr>
                <w:p>
                  <w:pPr>
                    <w:pStyle w:val="44"/>
                    <w:adjustRightInd w:val="0"/>
                    <w:snapToGrid w:val="0"/>
                    <w:spacing w:line="240" w:lineRule="auto"/>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rPr>
                    <w:t>项目建设不涉及生产和使用高VOCs含量的涂料、油墨、胶黏剂等</w:t>
                  </w:r>
                </w:p>
              </w:tc>
              <w:tc>
                <w:tcPr>
                  <w:tcW w:w="519" w:type="pct"/>
                  <w:noWrap w:val="0"/>
                  <w:vAlign w:val="center"/>
                </w:tcPr>
                <w:p>
                  <w:pPr>
                    <w:pStyle w:val="44"/>
                    <w:adjustRightInd w:val="0"/>
                    <w:snapToGrid w:val="0"/>
                    <w:spacing w:line="24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vMerge w:val="restart"/>
                  <w:noWrap w:val="0"/>
                  <w:vAlign w:val="center"/>
                </w:tcPr>
                <w:p>
                  <w:pPr>
                    <w:pStyle w:val="44"/>
                    <w:adjustRightInd w:val="0"/>
                    <w:snapToGrid w:val="0"/>
                    <w:spacing w:line="240" w:lineRule="auto"/>
                    <w:rPr>
                      <w:rFonts w:eastAsia="宋体"/>
                      <w:b/>
                      <w:color w:val="000000"/>
                      <w:szCs w:val="21"/>
                    </w:rPr>
                  </w:pPr>
                  <w:r>
                    <w:rPr>
                      <w:rFonts w:hint="eastAsia" w:eastAsia="宋体"/>
                      <w:b/>
                      <w:color w:val="000000"/>
                      <w:szCs w:val="21"/>
                    </w:rPr>
                    <w:t>《</w:t>
                  </w:r>
                  <w:r>
                    <w:rPr>
                      <w:rFonts w:eastAsia="宋体"/>
                      <w:b/>
                      <w:color w:val="000000"/>
                      <w:szCs w:val="21"/>
                    </w:rPr>
                    <w:t>太湖流域管理条例</w:t>
                  </w:r>
                  <w:r>
                    <w:rPr>
                      <w:rFonts w:hint="eastAsia" w:eastAsia="宋体"/>
                      <w:b/>
                      <w:color w:val="000000"/>
                      <w:szCs w:val="21"/>
                    </w:rPr>
                    <w:t>》</w:t>
                  </w:r>
                </w:p>
              </w:tc>
              <w:tc>
                <w:tcPr>
                  <w:tcW w:w="1916" w:type="pct"/>
                  <w:noWrap w:val="0"/>
                  <w:vAlign w:val="center"/>
                </w:tcPr>
                <w:p>
                  <w:pPr>
                    <w:adjustRightInd w:val="0"/>
                    <w:snapToGrid w:val="0"/>
                    <w:jc w:val="center"/>
                    <w:rPr>
                      <w:color w:val="000000"/>
                      <w:szCs w:val="21"/>
                    </w:rPr>
                  </w:pPr>
                  <w:r>
                    <w:rPr>
                      <w:color w:val="000000"/>
                      <w:szCs w:val="21"/>
                    </w:rPr>
                    <w:t>排污单位排放水污染物，不得超过经核定的水污染物排放总量，并应当按照规定设置便于检查、采样的规范化排污口，悬挂标志牌；不得私设暗管或者采取其他规避监管的方式排放水污染物。</w:t>
                  </w:r>
                </w:p>
              </w:tc>
              <w:tc>
                <w:tcPr>
                  <w:tcW w:w="1893" w:type="pct"/>
                  <w:noWrap w:val="0"/>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本次环评要求建设单位申请</w:t>
                  </w:r>
                  <w:r>
                    <w:rPr>
                      <w:rFonts w:hint="eastAsia" w:ascii="Times New Roman" w:hAnsi="Times New Roman" w:eastAsia="宋体" w:cs="Times New Roman"/>
                      <w:color w:val="000000"/>
                      <w:kern w:val="2"/>
                      <w:sz w:val="21"/>
                      <w:szCs w:val="21"/>
                      <w:lang w:val="en-US" w:eastAsia="zh-CN" w:bidi="ar-SA"/>
                    </w:rPr>
                    <w:t>水污染物排放</w:t>
                  </w:r>
                  <w:r>
                    <w:rPr>
                      <w:rFonts w:ascii="Times New Roman" w:hAnsi="Times New Roman" w:eastAsia="宋体" w:cs="Times New Roman"/>
                      <w:color w:val="000000"/>
                      <w:kern w:val="2"/>
                      <w:sz w:val="21"/>
                      <w:szCs w:val="21"/>
                      <w:lang w:val="en-US" w:eastAsia="zh-CN" w:bidi="ar-SA"/>
                    </w:rPr>
                    <w:t>总量，按照规定设置便于检查、采样的规范化排放口，悬挂标志牌；</w:t>
                  </w:r>
                  <w:r>
                    <w:rPr>
                      <w:rFonts w:hint="eastAsia" w:ascii="Times New Roman" w:hAnsi="Times New Roman" w:eastAsia="宋体" w:cs="Times New Roman"/>
                      <w:color w:val="000000"/>
                      <w:kern w:val="2"/>
                      <w:sz w:val="21"/>
                      <w:szCs w:val="21"/>
                      <w:lang w:val="en-US" w:eastAsia="zh-CN" w:bidi="ar-SA"/>
                    </w:rPr>
                    <w:t>建设单位</w:t>
                  </w:r>
                  <w:r>
                    <w:rPr>
                      <w:rFonts w:ascii="Times New Roman" w:hAnsi="Times New Roman" w:eastAsia="宋体" w:cs="Times New Roman"/>
                      <w:color w:val="000000"/>
                      <w:kern w:val="2"/>
                      <w:sz w:val="21"/>
                      <w:szCs w:val="21"/>
                      <w:lang w:val="en-US" w:eastAsia="zh-CN" w:bidi="ar-SA"/>
                    </w:rPr>
                    <w:t>不得私设暗管或者采取其他规范监管的方式排放水污染物</w:t>
                  </w:r>
                </w:p>
              </w:tc>
              <w:tc>
                <w:tcPr>
                  <w:tcW w:w="519" w:type="pct"/>
                  <w:noWrap w:val="0"/>
                  <w:vAlign w:val="center"/>
                </w:tcPr>
                <w:p>
                  <w:pPr>
                    <w:pStyle w:val="44"/>
                    <w:adjustRightInd w:val="0"/>
                    <w:snapToGrid w:val="0"/>
                    <w:spacing w:line="240" w:lineRule="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vMerge w:val="continue"/>
                  <w:noWrap w:val="0"/>
                  <w:vAlign w:val="center"/>
                </w:tcPr>
                <w:p>
                  <w:pPr>
                    <w:adjustRightInd w:val="0"/>
                    <w:snapToGrid w:val="0"/>
                    <w:jc w:val="center"/>
                    <w:rPr>
                      <w:color w:val="000000"/>
                      <w:szCs w:val="21"/>
                    </w:rPr>
                  </w:pPr>
                </w:p>
              </w:tc>
              <w:tc>
                <w:tcPr>
                  <w:tcW w:w="1916" w:type="pct"/>
                  <w:noWrap w:val="0"/>
                  <w:vAlign w:val="center"/>
                </w:tcPr>
                <w:p>
                  <w:pPr>
                    <w:adjustRightInd w:val="0"/>
                    <w:snapToGrid w:val="0"/>
                    <w:jc w:val="center"/>
                    <w:rPr>
                      <w:color w:val="000000"/>
                      <w:szCs w:val="21"/>
                    </w:rPr>
                  </w:pPr>
                  <w:r>
                    <w:rPr>
                      <w:color w:val="000000"/>
                      <w:szCs w:val="21"/>
                    </w:rPr>
                    <w:t>禁止在太湖流域设置不符合国家产业政策和水环境综合治理要求的造纸、制革、酒精、淀粉、冶金、酿造、</w:t>
                  </w:r>
                  <w:r>
                    <w:rPr>
                      <w:rFonts w:hint="eastAsia"/>
                      <w:color w:val="000000"/>
                      <w:szCs w:val="21"/>
                    </w:rPr>
                    <w:t>印</w:t>
                  </w:r>
                  <w:r>
                    <w:rPr>
                      <w:color w:val="000000"/>
                      <w:szCs w:val="21"/>
                    </w:rPr>
                    <w:cr/>
                  </w:r>
                  <w:r>
                    <w:rPr>
                      <w:color w:val="000000"/>
                      <w:szCs w:val="21"/>
                    </w:rPr>
                    <w:t>染、电镀等排放水污染物的生产项目，现有生产项目不能实现达标排放的，应当依法关闭</w:t>
                  </w:r>
                  <w:r>
                    <w:rPr>
                      <w:rFonts w:hint="eastAsia"/>
                      <w:color w:val="000000"/>
                      <w:szCs w:val="21"/>
                    </w:rPr>
                    <w:t>。</w:t>
                  </w:r>
                </w:p>
              </w:tc>
              <w:tc>
                <w:tcPr>
                  <w:tcW w:w="1893" w:type="pct"/>
                  <w:noWrap w:val="0"/>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本项目从事</w:t>
                  </w:r>
                  <w:r>
                    <w:rPr>
                      <w:rFonts w:hint="eastAsia" w:ascii="Times New Roman" w:hAnsi="Times New Roman" w:eastAsia="宋体" w:cs="Times New Roman"/>
                      <w:color w:val="000000"/>
                      <w:kern w:val="2"/>
                      <w:sz w:val="21"/>
                      <w:szCs w:val="21"/>
                      <w:lang w:val="en-US" w:eastAsia="zh-CN" w:bidi="ar-SA"/>
                    </w:rPr>
                    <w:t>其他医疗设备及器械制造</w:t>
                  </w:r>
                  <w:r>
                    <w:rPr>
                      <w:rFonts w:ascii="Times New Roman" w:hAnsi="Times New Roman" w:eastAsia="宋体" w:cs="Times New Roman"/>
                      <w:color w:val="000000"/>
                      <w:kern w:val="2"/>
                      <w:sz w:val="21"/>
                      <w:szCs w:val="21"/>
                      <w:lang w:val="en-US" w:eastAsia="zh-CN" w:bidi="ar-SA"/>
                    </w:rPr>
                    <w:t>，不属于禁止类项目</w:t>
                  </w:r>
                  <w:r>
                    <w:rPr>
                      <w:rFonts w:hint="eastAsia" w:ascii="Times New Roman" w:hAnsi="Times New Roman" w:eastAsia="宋体" w:cs="Times New Roman"/>
                      <w:color w:val="000000"/>
                      <w:kern w:val="2"/>
                      <w:sz w:val="21"/>
                      <w:szCs w:val="21"/>
                      <w:lang w:val="en-US" w:eastAsia="zh-CN" w:bidi="ar-SA"/>
                    </w:rPr>
                    <w:t>。</w:t>
                  </w:r>
                </w:p>
              </w:tc>
              <w:tc>
                <w:tcPr>
                  <w:tcW w:w="519" w:type="pct"/>
                  <w:noWrap w:val="0"/>
                  <w:vAlign w:val="center"/>
                </w:tcPr>
                <w:p>
                  <w:pPr>
                    <w:pStyle w:val="44"/>
                    <w:adjustRightInd w:val="0"/>
                    <w:snapToGrid w:val="0"/>
                    <w:spacing w:line="240" w:lineRule="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vMerge w:val="continue"/>
                  <w:noWrap w:val="0"/>
                  <w:vAlign w:val="center"/>
                </w:tcPr>
                <w:p>
                  <w:pPr>
                    <w:adjustRightInd w:val="0"/>
                    <w:snapToGrid w:val="0"/>
                    <w:jc w:val="center"/>
                    <w:rPr>
                      <w:color w:val="0000FF"/>
                      <w:szCs w:val="21"/>
                    </w:rPr>
                  </w:pPr>
                </w:p>
              </w:tc>
              <w:tc>
                <w:tcPr>
                  <w:tcW w:w="1916" w:type="pct"/>
                  <w:noWrap w:val="0"/>
                  <w:vAlign w:val="center"/>
                </w:tcPr>
                <w:p>
                  <w:pPr>
                    <w:adjustRightInd w:val="0"/>
                    <w:snapToGrid w:val="0"/>
                    <w:jc w:val="center"/>
                    <w:rPr>
                      <w:color w:val="000000"/>
                      <w:szCs w:val="21"/>
                    </w:rPr>
                  </w:pPr>
                  <w:r>
                    <w:rPr>
                      <w:color w:val="000000"/>
                      <w:szCs w:val="21"/>
                    </w:rPr>
                    <w:t>在太湖流域新设企业应当符合国家规定的清洁生产要求，现有的企业尚未达到清洁生产要求的</w:t>
                  </w:r>
                  <w:r>
                    <w:rPr>
                      <w:rFonts w:hint="eastAsia"/>
                      <w:color w:val="000000"/>
                      <w:szCs w:val="21"/>
                    </w:rPr>
                    <w:t>，</w:t>
                  </w:r>
                  <w:r>
                    <w:rPr>
                      <w:color w:val="000000"/>
                      <w:szCs w:val="21"/>
                    </w:rPr>
                    <w:cr/>
                  </w:r>
                  <w:r>
                    <w:rPr>
                      <w:rFonts w:hint="eastAsia"/>
                      <w:color w:val="000000"/>
                      <w:szCs w:val="21"/>
                    </w:rPr>
                    <w:t>应当</w:t>
                  </w:r>
                  <w:r>
                    <w:rPr>
                      <w:color w:val="000000"/>
                      <w:szCs w:val="21"/>
                    </w:rPr>
                    <w:t>按照清洁生产规划要求进行技术改造，两省一市人民政府应当加强监督检查</w:t>
                  </w:r>
                  <w:r>
                    <w:rPr>
                      <w:rFonts w:hint="eastAsia"/>
                      <w:color w:val="000000"/>
                      <w:szCs w:val="21"/>
                    </w:rPr>
                    <w:t>。</w:t>
                  </w:r>
                </w:p>
              </w:tc>
              <w:tc>
                <w:tcPr>
                  <w:tcW w:w="1893" w:type="pct"/>
                  <w:noWrap w:val="0"/>
                  <w:vAlign w:val="center"/>
                </w:tcPr>
                <w:p>
                  <w:pPr>
                    <w:adjustRightInd w:val="0"/>
                    <w:snapToGrid w:val="0"/>
                    <w:jc w:val="center"/>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项目将使用</w:t>
                  </w:r>
                  <w:r>
                    <w:rPr>
                      <w:rFonts w:ascii="Times New Roman" w:hAnsi="Times New Roman" w:eastAsia="宋体" w:cs="Times New Roman"/>
                      <w:color w:val="000000"/>
                      <w:kern w:val="2"/>
                      <w:sz w:val="21"/>
                      <w:szCs w:val="21"/>
                      <w:lang w:val="en-US" w:eastAsia="zh-CN" w:bidi="ar-SA"/>
                    </w:rPr>
                    <w:t>符合国家规定的清洁生产要求</w:t>
                  </w:r>
                  <w:r>
                    <w:rPr>
                      <w:rFonts w:hint="eastAsia" w:ascii="Times New Roman" w:hAnsi="Times New Roman" w:eastAsia="宋体" w:cs="Times New Roman"/>
                      <w:color w:val="000000"/>
                      <w:kern w:val="2"/>
                      <w:sz w:val="21"/>
                      <w:szCs w:val="21"/>
                      <w:lang w:val="en-US" w:eastAsia="zh-CN" w:bidi="ar-SA"/>
                    </w:rPr>
                    <w:t>的生产工艺和设备</w:t>
                  </w:r>
                </w:p>
              </w:tc>
              <w:tc>
                <w:tcPr>
                  <w:tcW w:w="519" w:type="pct"/>
                  <w:noWrap w:val="0"/>
                  <w:vAlign w:val="center"/>
                </w:tcPr>
                <w:p>
                  <w:pPr>
                    <w:pStyle w:val="44"/>
                    <w:adjustRightInd w:val="0"/>
                    <w:snapToGrid w:val="0"/>
                    <w:spacing w:line="240" w:lineRule="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vMerge w:val="restart"/>
                  <w:noWrap w:val="0"/>
                  <w:vAlign w:val="center"/>
                </w:tcPr>
                <w:p>
                  <w:pPr>
                    <w:pStyle w:val="44"/>
                    <w:adjustRightInd w:val="0"/>
                    <w:snapToGrid w:val="0"/>
                    <w:spacing w:line="240" w:lineRule="auto"/>
                    <w:rPr>
                      <w:rFonts w:eastAsia="宋体"/>
                      <w:b/>
                      <w:color w:val="000000"/>
                      <w:szCs w:val="21"/>
                    </w:rPr>
                  </w:pPr>
                  <w:r>
                    <w:rPr>
                      <w:rFonts w:hint="eastAsia" w:eastAsia="宋体"/>
                      <w:b/>
                      <w:color w:val="000000"/>
                      <w:szCs w:val="21"/>
                    </w:rPr>
                    <w:t>《</w:t>
                  </w:r>
                  <w:r>
                    <w:rPr>
                      <w:rFonts w:eastAsia="宋体"/>
                      <w:b/>
                      <w:color w:val="000000"/>
                      <w:szCs w:val="21"/>
                    </w:rPr>
                    <w:t>江苏省太湖水污染防治条例</w:t>
                  </w:r>
                  <w:r>
                    <w:rPr>
                      <w:rFonts w:hint="eastAsia" w:eastAsia="宋体"/>
                      <w:b/>
                      <w:color w:val="000000"/>
                      <w:szCs w:val="21"/>
                    </w:rPr>
                    <w:t>》</w:t>
                  </w:r>
                </w:p>
              </w:tc>
              <w:tc>
                <w:tcPr>
                  <w:tcW w:w="1916" w:type="pct"/>
                  <w:noWrap w:val="0"/>
                  <w:vAlign w:val="center"/>
                </w:tcPr>
                <w:p>
                  <w:pPr>
                    <w:adjustRightInd w:val="0"/>
                    <w:snapToGrid w:val="0"/>
                    <w:jc w:val="center"/>
                    <w:rPr>
                      <w:color w:val="000000"/>
                      <w:szCs w:val="21"/>
                    </w:rPr>
                  </w:pPr>
                  <w:r>
                    <w:rPr>
                      <w:color w:val="000000"/>
                      <w:szCs w:val="21"/>
                    </w:rPr>
                    <w:t>在太湖流域新建、改建、扩建可能产生水污染的建设项目应当依法进行环境影响评价。</w:t>
                  </w:r>
                </w:p>
              </w:tc>
              <w:tc>
                <w:tcPr>
                  <w:tcW w:w="1893" w:type="pct"/>
                  <w:noWrap w:val="0"/>
                  <w:vAlign w:val="center"/>
                </w:tcPr>
                <w:p>
                  <w:pPr>
                    <w:adjustRightInd w:val="0"/>
                    <w:snapToGrid w:val="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本项目目前正在进行环境影响评价</w:t>
                  </w:r>
                </w:p>
              </w:tc>
              <w:tc>
                <w:tcPr>
                  <w:tcW w:w="519" w:type="pct"/>
                  <w:noWrap w:val="0"/>
                  <w:vAlign w:val="center"/>
                </w:tcPr>
                <w:p>
                  <w:pPr>
                    <w:pStyle w:val="44"/>
                    <w:adjustRightInd w:val="0"/>
                    <w:snapToGrid w:val="0"/>
                    <w:spacing w:line="240" w:lineRule="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vMerge w:val="continue"/>
                  <w:noWrap w:val="0"/>
                  <w:vAlign w:val="center"/>
                </w:tcPr>
                <w:p>
                  <w:pPr>
                    <w:adjustRightInd w:val="0"/>
                    <w:snapToGrid w:val="0"/>
                    <w:jc w:val="center"/>
                    <w:rPr>
                      <w:color w:val="000000"/>
                      <w:szCs w:val="21"/>
                    </w:rPr>
                  </w:pPr>
                </w:p>
              </w:tc>
              <w:tc>
                <w:tcPr>
                  <w:tcW w:w="1916" w:type="pct"/>
                  <w:noWrap w:val="0"/>
                  <w:vAlign w:val="center"/>
                </w:tcPr>
                <w:p>
                  <w:pPr>
                    <w:adjustRightInd w:val="0"/>
                    <w:snapToGrid w:val="0"/>
                    <w:jc w:val="center"/>
                    <w:rPr>
                      <w:rFonts w:hint="eastAsia"/>
                      <w:color w:val="000000"/>
                      <w:szCs w:val="21"/>
                    </w:rPr>
                  </w:pPr>
                  <w:r>
                    <w:rPr>
                      <w:color w:val="000000"/>
                      <w:szCs w:val="21"/>
                    </w:rPr>
                    <w:t>建设</w:t>
                  </w:r>
                  <w:r>
                    <w:rPr>
                      <w:rFonts w:hint="eastAsia"/>
                      <w:color w:val="000000"/>
                      <w:szCs w:val="21"/>
                    </w:rPr>
                    <w:t>项目中防治水污染的设施</w:t>
                  </w:r>
                  <w:r>
                    <w:rPr>
                      <w:color w:val="000000"/>
                      <w:szCs w:val="21"/>
                    </w:rPr>
                    <w:t>，应当与主体工程同时设计、</w:t>
                  </w:r>
                  <w:r>
                    <w:rPr>
                      <w:rFonts w:hint="eastAsia"/>
                      <w:color w:val="000000"/>
                    </w:rPr>
                    <w:t>同时</w:t>
                  </w:r>
                  <w:r>
                    <w:rPr>
                      <w:color w:val="000000"/>
                      <w:szCs w:val="21"/>
                    </w:rPr>
                    <w:cr/>
                  </w:r>
                  <w:r>
                    <w:rPr>
                      <w:color w:val="000000"/>
                      <w:szCs w:val="21"/>
                    </w:rPr>
                    <w:t>施工、同时</w:t>
                  </w:r>
                  <w:r>
                    <w:rPr>
                      <w:rFonts w:hint="eastAsia"/>
                      <w:color w:val="000000"/>
                      <w:szCs w:val="21"/>
                    </w:rPr>
                    <w:t>投产</w:t>
                  </w:r>
                  <w:r>
                    <w:rPr>
                      <w:color w:val="000000"/>
                      <w:szCs w:val="21"/>
                    </w:rPr>
                    <w:t>使用</w:t>
                  </w:r>
                  <w:r>
                    <w:rPr>
                      <w:rFonts w:hint="eastAsia"/>
                      <w:color w:val="000000"/>
                      <w:szCs w:val="21"/>
                    </w:rPr>
                    <w:t>。</w:t>
                  </w:r>
                </w:p>
              </w:tc>
              <w:tc>
                <w:tcPr>
                  <w:tcW w:w="1893" w:type="pct"/>
                  <w:noWrap w:val="0"/>
                  <w:vAlign w:val="center"/>
                </w:tcPr>
                <w:p>
                  <w:pPr>
                    <w:adjustRightInd w:val="0"/>
                    <w:snapToGrid w:val="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本次环评要求建设单位严格执行“三同时制度”</w:t>
                  </w:r>
                </w:p>
              </w:tc>
              <w:tc>
                <w:tcPr>
                  <w:tcW w:w="519" w:type="pct"/>
                  <w:noWrap w:val="0"/>
                  <w:vAlign w:val="center"/>
                </w:tcPr>
                <w:p>
                  <w:pPr>
                    <w:pStyle w:val="44"/>
                    <w:adjustRightInd w:val="0"/>
                    <w:snapToGrid w:val="0"/>
                    <w:spacing w:line="240" w:lineRule="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vMerge w:val="continue"/>
                  <w:noWrap w:val="0"/>
                  <w:vAlign w:val="center"/>
                </w:tcPr>
                <w:p>
                  <w:pPr>
                    <w:adjustRightInd w:val="0"/>
                    <w:snapToGrid w:val="0"/>
                    <w:jc w:val="center"/>
                    <w:rPr>
                      <w:color w:val="000000"/>
                      <w:szCs w:val="21"/>
                    </w:rPr>
                  </w:pPr>
                </w:p>
              </w:tc>
              <w:tc>
                <w:tcPr>
                  <w:tcW w:w="1916" w:type="pct"/>
                  <w:noWrap w:val="0"/>
                  <w:vAlign w:val="center"/>
                </w:tcPr>
                <w:p>
                  <w:pPr>
                    <w:adjustRightInd w:val="0"/>
                    <w:snapToGrid w:val="0"/>
                    <w:jc w:val="center"/>
                    <w:rPr>
                      <w:rFonts w:hint="eastAsia"/>
                      <w:color w:val="000000"/>
                      <w:szCs w:val="21"/>
                    </w:rPr>
                  </w:pPr>
                  <w:r>
                    <w:rPr>
                      <w:color w:val="000000"/>
                      <w:szCs w:val="21"/>
                    </w:rPr>
                    <w:t>直接或者间接向水体排放污染物的企业事业单位和其他生产经营者应当按照国家和省有关规定设置排污口。禁止私设排污口</w:t>
                  </w:r>
                  <w:r>
                    <w:rPr>
                      <w:rFonts w:hint="eastAsia"/>
                      <w:color w:val="000000"/>
                      <w:szCs w:val="21"/>
                    </w:rPr>
                    <w:t>。</w:t>
                  </w:r>
                </w:p>
              </w:tc>
              <w:tc>
                <w:tcPr>
                  <w:tcW w:w="1893" w:type="pct"/>
                  <w:noWrap w:val="0"/>
                  <w:vAlign w:val="center"/>
                </w:tcPr>
                <w:p>
                  <w:pPr>
                    <w:adjustRightInd w:val="0"/>
                    <w:snapToGrid w:val="0"/>
                    <w:jc w:val="center"/>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项目污水依托租赁方排污口，建设单位不私设排污口</w:t>
                  </w:r>
                </w:p>
              </w:tc>
              <w:tc>
                <w:tcPr>
                  <w:tcW w:w="519" w:type="pct"/>
                  <w:noWrap w:val="0"/>
                  <w:vAlign w:val="center"/>
                </w:tcPr>
                <w:p>
                  <w:pPr>
                    <w:pStyle w:val="44"/>
                    <w:adjustRightInd w:val="0"/>
                    <w:snapToGrid w:val="0"/>
                    <w:spacing w:line="240" w:lineRule="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vMerge w:val="continue"/>
                  <w:noWrap w:val="0"/>
                  <w:vAlign w:val="center"/>
                </w:tcPr>
                <w:p>
                  <w:pPr>
                    <w:adjustRightInd w:val="0"/>
                    <w:snapToGrid w:val="0"/>
                    <w:jc w:val="center"/>
                    <w:rPr>
                      <w:color w:val="000000"/>
                      <w:szCs w:val="21"/>
                    </w:rPr>
                  </w:pPr>
                </w:p>
              </w:tc>
              <w:tc>
                <w:tcPr>
                  <w:tcW w:w="1916" w:type="pct"/>
                  <w:noWrap w:val="0"/>
                  <w:vAlign w:val="center"/>
                </w:tcPr>
                <w:p>
                  <w:pPr>
                    <w:adjustRightInd w:val="0"/>
                    <w:snapToGrid w:val="0"/>
                    <w:jc w:val="center"/>
                    <w:rPr>
                      <w:rFonts w:hint="eastAsia"/>
                      <w:color w:val="000000"/>
                      <w:szCs w:val="21"/>
                    </w:rPr>
                  </w:pPr>
                  <w:r>
                    <w:rPr>
                      <w:color w:val="000000"/>
                      <w:szCs w:val="21"/>
                    </w:rPr>
                    <w:t>各类污水处理设施产生的污泥应当进行安全处置，不得随意堆放和弃置，不得排入水体；属于危险废物的，应当委托有资质的单位处置。污泥的收集、贮存应当符合国家相关规定和标准</w:t>
                  </w:r>
                  <w:r>
                    <w:rPr>
                      <w:rFonts w:hint="eastAsia"/>
                      <w:color w:val="000000"/>
                      <w:szCs w:val="21"/>
                    </w:rPr>
                    <w:t>。</w:t>
                  </w:r>
                </w:p>
              </w:tc>
              <w:tc>
                <w:tcPr>
                  <w:tcW w:w="1893" w:type="pct"/>
                  <w:noWrap w:val="0"/>
                  <w:vAlign w:val="center"/>
                </w:tcPr>
                <w:p>
                  <w:pPr>
                    <w:adjustRightInd w:val="0"/>
                    <w:snapToGrid w:val="0"/>
                    <w:jc w:val="center"/>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项目无污水处理设施，无污泥产生</w:t>
                  </w:r>
                </w:p>
              </w:tc>
              <w:tc>
                <w:tcPr>
                  <w:tcW w:w="519" w:type="pct"/>
                  <w:noWrap w:val="0"/>
                  <w:vAlign w:val="center"/>
                </w:tcPr>
                <w:p>
                  <w:pPr>
                    <w:pStyle w:val="44"/>
                    <w:adjustRightInd w:val="0"/>
                    <w:snapToGrid w:val="0"/>
                    <w:spacing w:line="240" w:lineRule="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vMerge w:val="continue"/>
                  <w:noWrap w:val="0"/>
                  <w:vAlign w:val="center"/>
                </w:tcPr>
                <w:p>
                  <w:pPr>
                    <w:adjustRightInd w:val="0"/>
                    <w:snapToGrid w:val="0"/>
                    <w:jc w:val="center"/>
                    <w:rPr>
                      <w:color w:val="000000"/>
                      <w:szCs w:val="21"/>
                    </w:rPr>
                  </w:pPr>
                </w:p>
              </w:tc>
              <w:tc>
                <w:tcPr>
                  <w:tcW w:w="1916" w:type="pct"/>
                  <w:noWrap w:val="0"/>
                  <w:vAlign w:val="center"/>
                </w:tcPr>
                <w:p>
                  <w:pPr>
                    <w:adjustRightInd w:val="0"/>
                    <w:snapToGrid w:val="0"/>
                    <w:jc w:val="center"/>
                    <w:rPr>
                      <w:rFonts w:hint="eastAsia"/>
                      <w:color w:val="000000"/>
                      <w:szCs w:val="21"/>
                    </w:rPr>
                  </w:pPr>
                  <w:r>
                    <w:rPr>
                      <w:color w:val="000000"/>
                      <w:szCs w:val="21"/>
                    </w:rPr>
                    <w:t>太湖流域一、二、三级保护区禁止下列行为：（一）新建、改建、扩建化学制浆造纸、制革、酿造、染料、印染、电镀以及其他排放含磷、氮等污染物的企业和项目，城镇污水集中处理等环境基础设施项目和第四十六条规定的情形除外；（二）销售、使用含磷洗涤用品；（三）向水体排放或者倾倒油类、酸液、碱液、剧毒废渣废液、含放射性废渣废液、含病原体污水、工业废渣以及其他废弃物</w:t>
                  </w:r>
                  <w:r>
                    <w:rPr>
                      <w:rFonts w:hint="eastAsia"/>
                      <w:color w:val="000000"/>
                      <w:szCs w:val="21"/>
                    </w:rPr>
                    <w:t>。</w:t>
                  </w:r>
                </w:p>
              </w:tc>
              <w:tc>
                <w:tcPr>
                  <w:tcW w:w="1893" w:type="pct"/>
                  <w:noWrap w:val="0"/>
                  <w:vAlign w:val="center"/>
                </w:tcPr>
                <w:p>
                  <w:pPr>
                    <w:adjustRightInd w:val="0"/>
                    <w:snapToGrid w:val="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（一）本项目</w:t>
                  </w:r>
                  <w:r>
                    <w:rPr>
                      <w:rFonts w:hint="eastAsia" w:ascii="Times New Roman" w:hAnsi="Times New Roman" w:eastAsia="宋体" w:cs="Times New Roman"/>
                      <w:color w:val="000000"/>
                      <w:kern w:val="2"/>
                      <w:sz w:val="21"/>
                      <w:szCs w:val="21"/>
                      <w:lang w:val="en-US" w:eastAsia="zh-CN" w:bidi="ar-SA"/>
                    </w:rPr>
                    <w:t>不属于禁止类项目</w:t>
                  </w:r>
                  <w:r>
                    <w:rPr>
                      <w:rFonts w:ascii="Times New Roman" w:hAnsi="Times New Roman" w:eastAsia="宋体" w:cs="Times New Roman"/>
                      <w:color w:val="000000"/>
                      <w:kern w:val="2"/>
                      <w:sz w:val="21"/>
                      <w:szCs w:val="21"/>
                      <w:lang w:val="en-US" w:eastAsia="zh-CN" w:bidi="ar-SA"/>
                    </w:rPr>
                    <w:t>；</w:t>
                  </w:r>
                </w:p>
                <w:p>
                  <w:pPr>
                    <w:adjustRightInd w:val="0"/>
                    <w:snapToGrid w:val="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（二）本项目不销售、使用含磷洗涤用品；</w:t>
                  </w:r>
                </w:p>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（三）</w:t>
                  </w:r>
                  <w:r>
                    <w:rPr>
                      <w:rFonts w:hint="eastAsia" w:ascii="Times New Roman" w:hAnsi="Times New Roman" w:eastAsia="宋体" w:cs="Times New Roman"/>
                      <w:color w:val="000000"/>
                      <w:kern w:val="2"/>
                      <w:sz w:val="21"/>
                      <w:szCs w:val="21"/>
                      <w:lang w:val="en-US" w:eastAsia="zh-CN" w:bidi="ar-SA"/>
                    </w:rPr>
                    <w:t>项目抛光工序中产生的研磨水箱更换废液统一收集后委托有资质单位处置，</w:t>
                  </w:r>
                </w:p>
                <w:p>
                  <w:pPr>
                    <w:adjustRightInd w:val="0"/>
                    <w:snapToGrid w:val="0"/>
                    <w:jc w:val="center"/>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不外排，不向水体排放或倾倒废水、废渣及其他废弃物</w:t>
                  </w:r>
                </w:p>
              </w:tc>
              <w:tc>
                <w:tcPr>
                  <w:tcW w:w="519" w:type="pct"/>
                  <w:noWrap w:val="0"/>
                  <w:vAlign w:val="center"/>
                </w:tcPr>
                <w:p>
                  <w:pPr>
                    <w:pStyle w:val="44"/>
                    <w:adjustRightInd w:val="0"/>
                    <w:snapToGrid w:val="0"/>
                    <w:spacing w:line="240" w:lineRule="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相符</w:t>
                  </w:r>
                </w:p>
              </w:tc>
            </w:tr>
          </w:tbl>
          <w:p>
            <w:pPr>
              <w:adjustRightInd w:val="0"/>
              <w:snapToGrid w:val="0"/>
              <w:spacing w:before="120" w:beforeLines="50" w:line="360" w:lineRule="auto"/>
              <w:ind w:firstLine="482" w:firstLineChars="200"/>
              <w:rPr>
                <w:b/>
                <w:bCs/>
                <w:color w:val="000000"/>
                <w:sz w:val="24"/>
              </w:rPr>
            </w:pPr>
            <w:r>
              <w:rPr>
                <w:rFonts w:hint="eastAsia"/>
                <w:b/>
                <w:bCs/>
                <w:color w:val="000000"/>
                <w:sz w:val="24"/>
              </w:rPr>
              <w:t>（3）与《江苏省“三线一单”生态环境分区管控方案》（苏政发[2020]49号）、《常州市“三线一单”生态环境分区管控实施方案》（常环[2020]95号）相符性</w:t>
            </w:r>
          </w:p>
          <w:p>
            <w:pPr>
              <w:pStyle w:val="5"/>
              <w:adjustRightInd w:val="0"/>
              <w:snapToGrid w:val="0"/>
              <w:spacing w:line="360" w:lineRule="auto"/>
              <w:ind w:firstLine="480"/>
              <w:rPr>
                <w:color w:val="000000"/>
                <w:sz w:val="24"/>
              </w:rPr>
            </w:pPr>
            <w:r>
              <w:rPr>
                <w:rFonts w:hint="eastAsia"/>
                <w:color w:val="000000"/>
                <w:sz w:val="24"/>
              </w:rPr>
              <w:t>对照《江苏省“三线一单”生态环境分区管控方案》（苏政发[2020]49号）及《常州市“三线一单”生态环境分区管控实施方案》（常环[2020]95号）环境管控单元图，本项目属于重点管控单元（详见附图六），相符性分析见表1-7及表1-8。</w:t>
            </w:r>
          </w:p>
          <w:p>
            <w:pPr>
              <w:pStyle w:val="5"/>
              <w:adjustRightInd w:val="0"/>
              <w:snapToGrid w:val="0"/>
              <w:ind w:firstLine="0" w:firstLineChars="0"/>
              <w:jc w:val="center"/>
              <w:rPr>
                <w:b/>
                <w:bCs/>
                <w:color w:val="000000"/>
                <w:sz w:val="24"/>
              </w:rPr>
            </w:pPr>
            <w:r>
              <w:rPr>
                <w:rFonts w:hint="eastAsia"/>
                <w:b/>
                <w:bCs/>
                <w:color w:val="000000"/>
                <w:sz w:val="24"/>
              </w:rPr>
              <w:t>表1-7  与江苏省“三线一单”生态环境分区管控实施方案相符性</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2"/>
              <w:gridCol w:w="606"/>
              <w:gridCol w:w="2869"/>
              <w:gridCol w:w="2571"/>
              <w:gridCol w:w="8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1" w:type="pct"/>
                  <w:noWrap w:val="0"/>
                  <w:vAlign w:val="center"/>
                </w:tcPr>
                <w:p>
                  <w:pPr>
                    <w:spacing w:before="48" w:beforeLines="20" w:after="48" w:afterLines="20"/>
                    <w:jc w:val="center"/>
                    <w:rPr>
                      <w:b/>
                      <w:bCs/>
                      <w:color w:val="000000"/>
                      <w:szCs w:val="21"/>
                    </w:rPr>
                  </w:pPr>
                  <w:r>
                    <w:rPr>
                      <w:b/>
                      <w:bCs/>
                      <w:color w:val="000000"/>
                      <w:szCs w:val="21"/>
                    </w:rPr>
                    <w:t>序号</w:t>
                  </w:r>
                </w:p>
              </w:tc>
              <w:tc>
                <w:tcPr>
                  <w:tcW w:w="2297" w:type="pct"/>
                  <w:gridSpan w:val="2"/>
                  <w:noWrap w:val="0"/>
                  <w:vAlign w:val="center"/>
                </w:tcPr>
                <w:p>
                  <w:pPr>
                    <w:spacing w:before="48" w:beforeLines="20" w:after="48" w:afterLines="20"/>
                    <w:jc w:val="center"/>
                    <w:rPr>
                      <w:b/>
                      <w:bCs/>
                      <w:color w:val="000000"/>
                      <w:szCs w:val="21"/>
                    </w:rPr>
                  </w:pPr>
                  <w:r>
                    <w:rPr>
                      <w:b/>
                      <w:bCs/>
                      <w:color w:val="000000"/>
                      <w:szCs w:val="21"/>
                    </w:rPr>
                    <w:t>管控要求</w:t>
                  </w:r>
                </w:p>
              </w:tc>
              <w:tc>
                <w:tcPr>
                  <w:tcW w:w="1699" w:type="pct"/>
                  <w:noWrap w:val="0"/>
                  <w:vAlign w:val="center"/>
                </w:tcPr>
                <w:p>
                  <w:pPr>
                    <w:spacing w:before="48" w:beforeLines="20" w:after="48" w:afterLines="20"/>
                    <w:jc w:val="center"/>
                    <w:rPr>
                      <w:b/>
                      <w:bCs/>
                      <w:color w:val="000000"/>
                      <w:szCs w:val="21"/>
                    </w:rPr>
                  </w:pPr>
                  <w:r>
                    <w:rPr>
                      <w:b/>
                      <w:color w:val="000000"/>
                      <w:szCs w:val="21"/>
                    </w:rPr>
                    <w:t>本项目相关内容</w:t>
                  </w:r>
                </w:p>
              </w:tc>
              <w:tc>
                <w:tcPr>
                  <w:tcW w:w="571" w:type="pct"/>
                  <w:noWrap w:val="0"/>
                  <w:vAlign w:val="center"/>
                </w:tcPr>
                <w:p>
                  <w:pPr>
                    <w:spacing w:before="48" w:beforeLines="20" w:after="48" w:afterLines="20"/>
                    <w:jc w:val="center"/>
                    <w:rPr>
                      <w:b/>
                      <w:bCs/>
                      <w:color w:val="000000"/>
                      <w:szCs w:val="21"/>
                    </w:rPr>
                  </w:pPr>
                  <w:r>
                    <w:rPr>
                      <w:b/>
                      <w:bCs/>
                      <w:color w:val="000000"/>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1" w:type="pct"/>
                  <w:vMerge w:val="restart"/>
                  <w:noWrap w:val="0"/>
                  <w:vAlign w:val="center"/>
                </w:tcPr>
                <w:p>
                  <w:pPr>
                    <w:spacing w:before="48" w:beforeLines="20" w:after="48" w:afterLines="20"/>
                    <w:jc w:val="center"/>
                    <w:rPr>
                      <w:color w:val="000000"/>
                      <w:szCs w:val="21"/>
                    </w:rPr>
                  </w:pPr>
                  <w:r>
                    <w:rPr>
                      <w:color w:val="000000"/>
                      <w:szCs w:val="21"/>
                    </w:rPr>
                    <w:t>1</w:t>
                  </w:r>
                </w:p>
              </w:tc>
              <w:tc>
                <w:tcPr>
                  <w:tcW w:w="401" w:type="pct"/>
                  <w:vMerge w:val="restart"/>
                  <w:noWrap w:val="0"/>
                  <w:vAlign w:val="center"/>
                </w:tcPr>
                <w:p>
                  <w:pPr>
                    <w:spacing w:before="48" w:beforeLines="20" w:after="48" w:afterLines="20"/>
                    <w:jc w:val="center"/>
                    <w:rPr>
                      <w:color w:val="000000"/>
                      <w:szCs w:val="21"/>
                    </w:rPr>
                  </w:pPr>
                  <w:r>
                    <w:rPr>
                      <w:color w:val="000000"/>
                      <w:szCs w:val="21"/>
                    </w:rPr>
                    <w:t>空间布局约束</w:t>
                  </w:r>
                </w:p>
              </w:tc>
              <w:tc>
                <w:tcPr>
                  <w:tcW w:w="1896" w:type="pct"/>
                  <w:noWrap w:val="0"/>
                  <w:vAlign w:val="center"/>
                </w:tcPr>
                <w:p>
                  <w:pPr>
                    <w:spacing w:before="48" w:beforeLines="20" w:after="48" w:afterLines="20"/>
                    <w:jc w:val="center"/>
                    <w:rPr>
                      <w:color w:val="000000"/>
                      <w:szCs w:val="21"/>
                    </w:rPr>
                  </w:pPr>
                  <w:r>
                    <w:rPr>
                      <w:color w:val="000000"/>
                      <w:szCs w:val="21"/>
                    </w:rPr>
                    <w:t>严守生态保护红线，实行最严格的生态空间管控制度，确保全省生态功能不降低、面积不减少、性质不改变，切实维护生态安全</w:t>
                  </w:r>
                </w:p>
              </w:tc>
              <w:tc>
                <w:tcPr>
                  <w:tcW w:w="1699" w:type="pct"/>
                  <w:noWrap w:val="0"/>
                  <w:vAlign w:val="center"/>
                </w:tcPr>
                <w:p>
                  <w:pPr>
                    <w:spacing w:before="48" w:beforeLines="20" w:after="48" w:afterLines="20"/>
                    <w:jc w:val="center"/>
                    <w:rPr>
                      <w:color w:val="000000"/>
                      <w:szCs w:val="21"/>
                    </w:rPr>
                  </w:pPr>
                  <w:r>
                    <w:rPr>
                      <w:color w:val="000000"/>
                      <w:szCs w:val="21"/>
                    </w:rPr>
                    <w:t>项目不在国家级生态保护红线和</w:t>
                  </w:r>
                  <w:r>
                    <w:rPr>
                      <w:rFonts w:hint="eastAsia"/>
                      <w:color w:val="000000"/>
                      <w:szCs w:val="21"/>
                    </w:rPr>
                    <w:t>江苏省</w:t>
                  </w:r>
                  <w:r>
                    <w:rPr>
                      <w:color w:val="000000"/>
                      <w:szCs w:val="21"/>
                    </w:rPr>
                    <w:t>生态空间管控区内，项目的建设不会使生态功能降低、不会影响生态空间面积、不会改变生态空间性质</w:t>
                  </w:r>
                </w:p>
              </w:tc>
              <w:tc>
                <w:tcPr>
                  <w:tcW w:w="571" w:type="pct"/>
                  <w:noWrap w:val="0"/>
                  <w:vAlign w:val="center"/>
                </w:tcPr>
                <w:p>
                  <w:pPr>
                    <w:spacing w:before="48" w:beforeLines="20" w:after="48" w:afterLines="20"/>
                    <w:jc w:val="center"/>
                    <w:rPr>
                      <w:color w:val="000000"/>
                      <w:szCs w:val="21"/>
                    </w:rPr>
                  </w:pPr>
                  <w:r>
                    <w:rPr>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1" w:type="pct"/>
                  <w:vMerge w:val="continue"/>
                  <w:noWrap w:val="0"/>
                  <w:vAlign w:val="center"/>
                </w:tcPr>
                <w:p>
                  <w:pPr>
                    <w:spacing w:before="48" w:beforeLines="20" w:after="48" w:afterLines="20"/>
                    <w:jc w:val="center"/>
                    <w:rPr>
                      <w:color w:val="000000"/>
                      <w:szCs w:val="21"/>
                    </w:rPr>
                  </w:pPr>
                </w:p>
              </w:tc>
              <w:tc>
                <w:tcPr>
                  <w:tcW w:w="401" w:type="pct"/>
                  <w:vMerge w:val="continue"/>
                  <w:noWrap w:val="0"/>
                  <w:vAlign w:val="center"/>
                </w:tcPr>
                <w:p>
                  <w:pPr>
                    <w:spacing w:before="48" w:beforeLines="20" w:after="48" w:afterLines="20"/>
                    <w:jc w:val="center"/>
                    <w:rPr>
                      <w:color w:val="000000"/>
                      <w:szCs w:val="21"/>
                    </w:rPr>
                  </w:pPr>
                </w:p>
              </w:tc>
              <w:tc>
                <w:tcPr>
                  <w:tcW w:w="1896" w:type="pct"/>
                  <w:noWrap w:val="0"/>
                  <w:vAlign w:val="center"/>
                </w:tcPr>
                <w:p>
                  <w:pPr>
                    <w:spacing w:before="48" w:beforeLines="20" w:after="48" w:afterLines="20"/>
                    <w:jc w:val="center"/>
                    <w:rPr>
                      <w:color w:val="000000"/>
                      <w:szCs w:val="21"/>
                    </w:rPr>
                  </w:pPr>
                  <w:r>
                    <w:rPr>
                      <w:color w:val="000000"/>
                      <w:szCs w:val="21"/>
                    </w:rPr>
                    <w:t>太湖流域需满足江苏省太湖水污染防治条例要求</w:t>
                  </w:r>
                </w:p>
              </w:tc>
              <w:tc>
                <w:tcPr>
                  <w:tcW w:w="1699" w:type="pct"/>
                  <w:noWrap w:val="0"/>
                  <w:vAlign w:val="center"/>
                </w:tcPr>
                <w:p>
                  <w:pPr>
                    <w:spacing w:before="48" w:beforeLines="20" w:after="48" w:afterLines="20"/>
                    <w:jc w:val="center"/>
                    <w:rPr>
                      <w:color w:val="000000"/>
                      <w:szCs w:val="21"/>
                    </w:rPr>
                  </w:pPr>
                  <w:r>
                    <w:rPr>
                      <w:color w:val="000000"/>
                      <w:szCs w:val="21"/>
                    </w:rPr>
                    <w:t>项目满足江苏省太湖水污染防治条例要求</w:t>
                  </w:r>
                </w:p>
              </w:tc>
              <w:tc>
                <w:tcPr>
                  <w:tcW w:w="571" w:type="pct"/>
                  <w:noWrap w:val="0"/>
                  <w:vAlign w:val="center"/>
                </w:tcPr>
                <w:p>
                  <w:pPr>
                    <w:spacing w:before="48" w:beforeLines="20" w:after="48" w:afterLines="20"/>
                    <w:jc w:val="center"/>
                    <w:rPr>
                      <w:color w:val="000000"/>
                      <w:szCs w:val="21"/>
                    </w:rPr>
                  </w:pPr>
                  <w:r>
                    <w:rPr>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1" w:type="pct"/>
                  <w:vMerge w:val="restart"/>
                  <w:noWrap w:val="0"/>
                  <w:vAlign w:val="center"/>
                </w:tcPr>
                <w:p>
                  <w:pPr>
                    <w:spacing w:before="48" w:beforeLines="20" w:after="48" w:afterLines="20"/>
                    <w:jc w:val="center"/>
                    <w:rPr>
                      <w:color w:val="000000"/>
                      <w:szCs w:val="21"/>
                    </w:rPr>
                  </w:pPr>
                  <w:r>
                    <w:rPr>
                      <w:color w:val="000000"/>
                      <w:szCs w:val="21"/>
                    </w:rPr>
                    <w:t>2</w:t>
                  </w:r>
                </w:p>
              </w:tc>
              <w:tc>
                <w:tcPr>
                  <w:tcW w:w="401" w:type="pct"/>
                  <w:vMerge w:val="restart"/>
                  <w:noWrap w:val="0"/>
                  <w:vAlign w:val="center"/>
                </w:tcPr>
                <w:p>
                  <w:pPr>
                    <w:spacing w:before="48" w:beforeLines="20" w:after="48" w:afterLines="20"/>
                    <w:jc w:val="center"/>
                    <w:rPr>
                      <w:color w:val="000000"/>
                      <w:szCs w:val="21"/>
                    </w:rPr>
                  </w:pPr>
                  <w:r>
                    <w:rPr>
                      <w:color w:val="000000"/>
                      <w:szCs w:val="21"/>
                    </w:rPr>
                    <w:t>污染物排放管控</w:t>
                  </w:r>
                </w:p>
              </w:tc>
              <w:tc>
                <w:tcPr>
                  <w:tcW w:w="1896" w:type="pct"/>
                  <w:noWrap w:val="0"/>
                  <w:vAlign w:val="center"/>
                </w:tcPr>
                <w:p>
                  <w:pPr>
                    <w:spacing w:before="48" w:beforeLines="20" w:after="48" w:afterLines="20"/>
                    <w:jc w:val="center"/>
                    <w:rPr>
                      <w:color w:val="000000"/>
                      <w:szCs w:val="21"/>
                    </w:rPr>
                  </w:pPr>
                  <w:r>
                    <w:rPr>
                      <w:color w:val="000000"/>
                      <w:szCs w:val="21"/>
                    </w:rPr>
                    <w:t>坚持生态环境质量只能更好、不能变坏，实施污染物总量控制，以环境容量定产业、定项目、定规模，确保开发建设行为不突破生态环境承载力</w:t>
                  </w:r>
                  <w:r>
                    <w:rPr>
                      <w:rFonts w:hint="eastAsia"/>
                      <w:color w:val="000000"/>
                      <w:szCs w:val="21"/>
                    </w:rPr>
                    <w:t>。</w:t>
                  </w:r>
                </w:p>
              </w:tc>
              <w:tc>
                <w:tcPr>
                  <w:tcW w:w="1699" w:type="pct"/>
                  <w:noWrap w:val="0"/>
                  <w:vAlign w:val="center"/>
                </w:tcPr>
                <w:p>
                  <w:pPr>
                    <w:spacing w:before="48" w:beforeLines="20" w:after="48" w:afterLines="20"/>
                    <w:jc w:val="center"/>
                    <w:rPr>
                      <w:color w:val="000000"/>
                      <w:szCs w:val="21"/>
                    </w:rPr>
                  </w:pPr>
                  <w:r>
                    <w:rPr>
                      <w:rFonts w:hint="eastAsia"/>
                      <w:color w:val="000000"/>
                      <w:szCs w:val="21"/>
                    </w:rPr>
                    <w:t>建设项目将根据要求向</w:t>
                  </w:r>
                  <w:r>
                    <w:rPr>
                      <w:color w:val="000000"/>
                      <w:szCs w:val="21"/>
                    </w:rPr>
                    <w:t>常州市金坛生态环境局申请总量</w:t>
                  </w:r>
                </w:p>
              </w:tc>
              <w:tc>
                <w:tcPr>
                  <w:tcW w:w="571" w:type="pct"/>
                  <w:noWrap w:val="0"/>
                  <w:vAlign w:val="center"/>
                </w:tcPr>
                <w:p>
                  <w:pPr>
                    <w:spacing w:before="48" w:beforeLines="20" w:after="48" w:afterLines="20"/>
                    <w:jc w:val="center"/>
                    <w:rPr>
                      <w:color w:val="000000"/>
                      <w:szCs w:val="21"/>
                    </w:rPr>
                  </w:pPr>
                  <w:r>
                    <w:rPr>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1" w:type="pct"/>
                  <w:vMerge w:val="continue"/>
                  <w:noWrap w:val="0"/>
                  <w:vAlign w:val="center"/>
                </w:tcPr>
                <w:p>
                  <w:pPr>
                    <w:spacing w:before="48" w:beforeLines="20" w:after="48" w:afterLines="20"/>
                    <w:jc w:val="center"/>
                    <w:rPr>
                      <w:color w:val="000000"/>
                      <w:szCs w:val="21"/>
                    </w:rPr>
                  </w:pPr>
                </w:p>
              </w:tc>
              <w:tc>
                <w:tcPr>
                  <w:tcW w:w="401" w:type="pct"/>
                  <w:vMerge w:val="continue"/>
                  <w:noWrap w:val="0"/>
                  <w:vAlign w:val="center"/>
                </w:tcPr>
                <w:p>
                  <w:pPr>
                    <w:spacing w:before="48" w:beforeLines="20" w:after="48" w:afterLines="20"/>
                    <w:jc w:val="center"/>
                    <w:rPr>
                      <w:color w:val="000000"/>
                      <w:szCs w:val="21"/>
                    </w:rPr>
                  </w:pPr>
                </w:p>
              </w:tc>
              <w:tc>
                <w:tcPr>
                  <w:tcW w:w="1896" w:type="pct"/>
                  <w:noWrap w:val="0"/>
                  <w:vAlign w:val="center"/>
                </w:tcPr>
                <w:p>
                  <w:pPr>
                    <w:spacing w:before="48" w:beforeLines="20" w:after="48" w:afterLines="20"/>
                    <w:jc w:val="center"/>
                    <w:rPr>
                      <w:color w:val="000000"/>
                      <w:szCs w:val="21"/>
                    </w:rPr>
                  </w:pPr>
                  <w:r>
                    <w:rPr>
                      <w:color w:val="000000"/>
                      <w:szCs w:val="21"/>
                    </w:rPr>
                    <w:t>城镇污水处理厂、纺织工业、化学工业、造纸工业、钢铁工业、电镀工业和食品工业的污水处理设施执行《太湖地区城镇污水处理厂及重点工业行业主要水污染物排放限值》。</w:t>
                  </w:r>
                </w:p>
              </w:tc>
              <w:tc>
                <w:tcPr>
                  <w:tcW w:w="1699" w:type="pct"/>
                  <w:noWrap w:val="0"/>
                  <w:vAlign w:val="center"/>
                </w:tcPr>
                <w:p>
                  <w:pPr>
                    <w:spacing w:before="48" w:beforeLines="20" w:after="48" w:afterLines="20"/>
                    <w:jc w:val="center"/>
                    <w:rPr>
                      <w:rFonts w:hint="eastAsia"/>
                      <w:color w:val="000000"/>
                      <w:szCs w:val="21"/>
                    </w:rPr>
                  </w:pPr>
                  <w:r>
                    <w:rPr>
                      <w:color w:val="000000"/>
                      <w:szCs w:val="21"/>
                    </w:rPr>
                    <w:t>项目</w:t>
                  </w:r>
                  <w:r>
                    <w:rPr>
                      <w:rFonts w:hint="eastAsia"/>
                      <w:color w:val="000000"/>
                      <w:szCs w:val="21"/>
                    </w:rPr>
                    <w:t>不属于上述行业，</w:t>
                  </w:r>
                  <w:r>
                    <w:rPr>
                      <w:rFonts w:hint="eastAsia"/>
                      <w:color w:val="000000"/>
                      <w:kern w:val="0"/>
                      <w:szCs w:val="21"/>
                    </w:rPr>
                    <w:t>项目</w:t>
                  </w:r>
                  <w:r>
                    <w:rPr>
                      <w:rFonts w:hint="eastAsia"/>
                      <w:color w:val="000000"/>
                      <w:kern w:val="0"/>
                      <w:szCs w:val="21"/>
                      <w:highlight w:val="none"/>
                    </w:rPr>
                    <w:t>产生</w:t>
                  </w:r>
                  <w:r>
                    <w:rPr>
                      <w:rFonts w:hint="eastAsia"/>
                      <w:color w:val="000000"/>
                      <w:kern w:val="0"/>
                      <w:szCs w:val="21"/>
                      <w:highlight w:val="none"/>
                      <w:lang w:val="en-US" w:eastAsia="zh-CN"/>
                    </w:rPr>
                    <w:t>纯水制备产生的反渗透浓水、清洗废水以及</w:t>
                  </w:r>
                  <w:r>
                    <w:rPr>
                      <w:rFonts w:hint="eastAsia"/>
                      <w:color w:val="000000"/>
                      <w:kern w:val="0"/>
                      <w:szCs w:val="21"/>
                      <w:highlight w:val="none"/>
                    </w:rPr>
                    <w:t>生活污水接</w:t>
                  </w:r>
                  <w:r>
                    <w:rPr>
                      <w:rFonts w:hint="eastAsia"/>
                      <w:color w:val="000000"/>
                      <w:kern w:val="0"/>
                      <w:szCs w:val="21"/>
                      <w:highlight w:val="none"/>
                      <w:lang w:val="en-US" w:eastAsia="zh-CN"/>
                    </w:rPr>
                    <w:t>市</w:t>
                  </w:r>
                  <w:r>
                    <w:rPr>
                      <w:rFonts w:hint="eastAsia"/>
                      <w:color w:val="000000"/>
                      <w:kern w:val="0"/>
                      <w:szCs w:val="21"/>
                      <w:lang w:val="en-US" w:eastAsia="zh-CN"/>
                    </w:rPr>
                    <w:t>政管网达标排放</w:t>
                  </w:r>
                  <w:r>
                    <w:rPr>
                      <w:rFonts w:hint="eastAsia"/>
                      <w:color w:val="000000"/>
                      <w:kern w:val="0"/>
                      <w:szCs w:val="21"/>
                      <w:lang w:eastAsia="zh-CN"/>
                    </w:rPr>
                    <w:t>，研磨水箱更换废液统一收集后委托有资质单位处置，不外排，</w:t>
                  </w:r>
                  <w:r>
                    <w:rPr>
                      <w:rFonts w:hint="eastAsia"/>
                      <w:color w:val="000000"/>
                      <w:szCs w:val="21"/>
                    </w:rPr>
                    <w:t>无污水处理设施</w:t>
                  </w:r>
                </w:p>
              </w:tc>
              <w:tc>
                <w:tcPr>
                  <w:tcW w:w="571" w:type="pct"/>
                  <w:noWrap w:val="0"/>
                  <w:vAlign w:val="center"/>
                </w:tcPr>
                <w:p>
                  <w:pPr>
                    <w:spacing w:before="48" w:beforeLines="20" w:after="48" w:afterLines="20"/>
                    <w:jc w:val="center"/>
                    <w:rPr>
                      <w:color w:val="000000"/>
                      <w:szCs w:val="21"/>
                    </w:rPr>
                  </w:pPr>
                  <w:r>
                    <w:rPr>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1" w:type="pct"/>
                  <w:vMerge w:val="restart"/>
                  <w:noWrap w:val="0"/>
                  <w:vAlign w:val="center"/>
                </w:tcPr>
                <w:p>
                  <w:pPr>
                    <w:spacing w:before="48" w:beforeLines="20" w:after="48" w:afterLines="20"/>
                    <w:jc w:val="center"/>
                    <w:rPr>
                      <w:color w:val="000000"/>
                      <w:szCs w:val="21"/>
                    </w:rPr>
                  </w:pPr>
                  <w:r>
                    <w:rPr>
                      <w:color w:val="000000"/>
                      <w:szCs w:val="21"/>
                    </w:rPr>
                    <w:t>3</w:t>
                  </w:r>
                </w:p>
              </w:tc>
              <w:tc>
                <w:tcPr>
                  <w:tcW w:w="401" w:type="pct"/>
                  <w:vMerge w:val="restart"/>
                  <w:noWrap w:val="0"/>
                  <w:vAlign w:val="center"/>
                </w:tcPr>
                <w:p>
                  <w:pPr>
                    <w:spacing w:before="48" w:beforeLines="20" w:after="48" w:afterLines="20"/>
                    <w:jc w:val="center"/>
                    <w:rPr>
                      <w:color w:val="000000"/>
                      <w:szCs w:val="21"/>
                    </w:rPr>
                  </w:pPr>
                  <w:r>
                    <w:rPr>
                      <w:color w:val="000000"/>
                      <w:szCs w:val="21"/>
                    </w:rPr>
                    <w:t>环境风险防控</w:t>
                  </w:r>
                </w:p>
              </w:tc>
              <w:tc>
                <w:tcPr>
                  <w:tcW w:w="1896" w:type="pct"/>
                  <w:noWrap w:val="0"/>
                  <w:vAlign w:val="center"/>
                </w:tcPr>
                <w:p>
                  <w:pPr>
                    <w:spacing w:before="48" w:beforeLines="20" w:after="48" w:afterLines="20"/>
                    <w:jc w:val="center"/>
                    <w:rPr>
                      <w:color w:val="000000"/>
                      <w:szCs w:val="21"/>
                    </w:rPr>
                  </w:pPr>
                  <w:r>
                    <w:rPr>
                      <w:color w:val="000000"/>
                      <w:szCs w:val="21"/>
                    </w:rPr>
                    <w:t>强化环境事故应急管理、强化环境风险防控能力建设</w:t>
                  </w:r>
                </w:p>
              </w:tc>
              <w:tc>
                <w:tcPr>
                  <w:tcW w:w="1699" w:type="pct"/>
                  <w:noWrap w:val="0"/>
                  <w:vAlign w:val="center"/>
                </w:tcPr>
                <w:p>
                  <w:pPr>
                    <w:spacing w:before="48" w:beforeLines="20" w:after="48" w:afterLines="20"/>
                    <w:jc w:val="center"/>
                    <w:rPr>
                      <w:color w:val="000000"/>
                      <w:szCs w:val="21"/>
                    </w:rPr>
                  </w:pPr>
                  <w:r>
                    <w:rPr>
                      <w:color w:val="000000"/>
                      <w:szCs w:val="21"/>
                    </w:rPr>
                    <w:t>本项目设置风险防范措施；项目实施后，按要求编制应急预案</w:t>
                  </w:r>
                </w:p>
              </w:tc>
              <w:tc>
                <w:tcPr>
                  <w:tcW w:w="571" w:type="pct"/>
                  <w:noWrap w:val="0"/>
                  <w:vAlign w:val="center"/>
                </w:tcPr>
                <w:p>
                  <w:pPr>
                    <w:spacing w:before="48" w:beforeLines="20" w:after="48" w:afterLines="20"/>
                    <w:jc w:val="center"/>
                    <w:rPr>
                      <w:color w:val="000000"/>
                      <w:szCs w:val="21"/>
                    </w:rPr>
                  </w:pPr>
                  <w:r>
                    <w:rPr>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1" w:type="pct"/>
                  <w:vMerge w:val="continue"/>
                  <w:noWrap w:val="0"/>
                  <w:vAlign w:val="center"/>
                </w:tcPr>
                <w:p>
                  <w:pPr>
                    <w:spacing w:before="48" w:beforeLines="20" w:after="48" w:afterLines="20"/>
                    <w:jc w:val="center"/>
                    <w:rPr>
                      <w:color w:val="000000"/>
                      <w:szCs w:val="21"/>
                    </w:rPr>
                  </w:pPr>
                </w:p>
              </w:tc>
              <w:tc>
                <w:tcPr>
                  <w:tcW w:w="401" w:type="pct"/>
                  <w:vMerge w:val="continue"/>
                  <w:noWrap w:val="0"/>
                  <w:vAlign w:val="center"/>
                </w:tcPr>
                <w:p>
                  <w:pPr>
                    <w:spacing w:before="48" w:beforeLines="20" w:after="48" w:afterLines="20"/>
                    <w:jc w:val="center"/>
                    <w:rPr>
                      <w:color w:val="000000"/>
                      <w:szCs w:val="21"/>
                    </w:rPr>
                  </w:pPr>
                </w:p>
              </w:tc>
              <w:tc>
                <w:tcPr>
                  <w:tcW w:w="1896" w:type="pct"/>
                  <w:noWrap w:val="0"/>
                  <w:vAlign w:val="center"/>
                </w:tcPr>
                <w:p>
                  <w:pPr>
                    <w:spacing w:before="48" w:beforeLines="20" w:after="48" w:afterLines="20"/>
                    <w:jc w:val="center"/>
                    <w:rPr>
                      <w:color w:val="000000"/>
                      <w:szCs w:val="21"/>
                    </w:rPr>
                  </w:pPr>
                  <w:r>
                    <w:rPr>
                      <w:color w:val="000000"/>
                      <w:szCs w:val="21"/>
                    </w:rPr>
                    <w:t>禁止向太湖流域水体排放或者倾倒油类、酸液、碱液、剧毒废渣废液、含放射性废渣废液、含病原体污水、工业废渣以及其他废弃物</w:t>
                  </w:r>
                </w:p>
              </w:tc>
              <w:tc>
                <w:tcPr>
                  <w:tcW w:w="1699" w:type="pct"/>
                  <w:noWrap w:val="0"/>
                  <w:vAlign w:val="center"/>
                </w:tcPr>
                <w:p>
                  <w:pPr>
                    <w:spacing w:before="48" w:beforeLines="20" w:after="48" w:afterLines="20"/>
                    <w:jc w:val="center"/>
                    <w:rPr>
                      <w:color w:val="000000"/>
                      <w:szCs w:val="21"/>
                    </w:rPr>
                  </w:pPr>
                  <w:r>
                    <w:rPr>
                      <w:rFonts w:hint="eastAsia"/>
                      <w:color w:val="000000"/>
                      <w:szCs w:val="21"/>
                    </w:rPr>
                    <w:t>项目产生的反渗透浓水、清洗废水以及生活污水接市政管网达标排放，研磨水箱更换废液统一收集后委托有资质单位处置，</w:t>
                  </w:r>
                  <w:r>
                    <w:rPr>
                      <w:rFonts w:hint="eastAsia"/>
                      <w:color w:val="000000"/>
                      <w:szCs w:val="21"/>
                      <w:lang w:val="en-US" w:eastAsia="zh-CN"/>
                    </w:rPr>
                    <w:t>不外排，</w:t>
                  </w:r>
                  <w:r>
                    <w:rPr>
                      <w:rFonts w:hint="eastAsia"/>
                      <w:color w:val="000000"/>
                      <w:szCs w:val="21"/>
                    </w:rPr>
                    <w:t>不向太湖流域水体排放或倾倒废水、废渣及其他废弃物</w:t>
                  </w:r>
                </w:p>
              </w:tc>
              <w:tc>
                <w:tcPr>
                  <w:tcW w:w="571" w:type="pct"/>
                  <w:noWrap w:val="0"/>
                  <w:vAlign w:val="center"/>
                </w:tcPr>
                <w:p>
                  <w:pPr>
                    <w:spacing w:before="48" w:beforeLines="20" w:after="48" w:afterLines="20"/>
                    <w:jc w:val="center"/>
                    <w:rPr>
                      <w:color w:val="000000"/>
                      <w:szCs w:val="21"/>
                    </w:rPr>
                  </w:pPr>
                  <w:r>
                    <w:rPr>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1" w:type="pct"/>
                  <w:noWrap w:val="0"/>
                  <w:vAlign w:val="center"/>
                </w:tcPr>
                <w:p>
                  <w:pPr>
                    <w:spacing w:before="48" w:beforeLines="20" w:after="48" w:afterLines="20"/>
                    <w:jc w:val="center"/>
                    <w:rPr>
                      <w:color w:val="000000"/>
                      <w:szCs w:val="21"/>
                    </w:rPr>
                  </w:pPr>
                  <w:r>
                    <w:rPr>
                      <w:color w:val="000000"/>
                      <w:szCs w:val="21"/>
                    </w:rPr>
                    <w:t>4</w:t>
                  </w:r>
                </w:p>
              </w:tc>
              <w:tc>
                <w:tcPr>
                  <w:tcW w:w="401" w:type="pct"/>
                  <w:noWrap w:val="0"/>
                  <w:vAlign w:val="center"/>
                </w:tcPr>
                <w:p>
                  <w:pPr>
                    <w:spacing w:before="48" w:beforeLines="20" w:after="48" w:afterLines="20"/>
                    <w:jc w:val="center"/>
                    <w:rPr>
                      <w:color w:val="000000"/>
                      <w:szCs w:val="21"/>
                    </w:rPr>
                  </w:pPr>
                  <w:r>
                    <w:rPr>
                      <w:color w:val="000000"/>
                      <w:szCs w:val="21"/>
                    </w:rPr>
                    <w:t>资源利用效率要求</w:t>
                  </w:r>
                </w:p>
              </w:tc>
              <w:tc>
                <w:tcPr>
                  <w:tcW w:w="1896" w:type="pct"/>
                  <w:noWrap w:val="0"/>
                  <w:vAlign w:val="center"/>
                </w:tcPr>
                <w:p>
                  <w:pPr>
                    <w:spacing w:before="48" w:beforeLines="20" w:after="48" w:afterLines="20"/>
                    <w:jc w:val="center"/>
                    <w:rPr>
                      <w:color w:val="000000"/>
                      <w:szCs w:val="21"/>
                    </w:rPr>
                  </w:pPr>
                  <w:r>
                    <w:rPr>
                      <w:rFonts w:hint="eastAsia"/>
                      <w:color w:val="000000"/>
                      <w:szCs w:val="21"/>
                    </w:rPr>
                    <w:t>高耗水行业达到先进额定标准，</w:t>
                  </w:r>
                  <w:r>
                    <w:rPr>
                      <w:color w:val="000000"/>
                      <w:szCs w:val="21"/>
                    </w:rPr>
                    <w:t>工业水循环利用率达90%；在禁燃区内，禁止销售、燃用高污染燃料；禁止新建、扩建燃用高污染燃料的设施，已建成的，应当在城市人民政府规定的期限内改用天然气、页岩气、液化石油气、电或者其他清洁能源。</w:t>
                  </w:r>
                </w:p>
              </w:tc>
              <w:tc>
                <w:tcPr>
                  <w:tcW w:w="1699" w:type="pct"/>
                  <w:noWrap w:val="0"/>
                  <w:vAlign w:val="center"/>
                </w:tcPr>
                <w:p>
                  <w:pPr>
                    <w:spacing w:before="48" w:beforeLines="20" w:after="48" w:afterLines="20"/>
                    <w:jc w:val="center"/>
                    <w:rPr>
                      <w:color w:val="000000"/>
                      <w:szCs w:val="21"/>
                    </w:rPr>
                  </w:pPr>
                  <w:r>
                    <w:rPr>
                      <w:color w:val="000000"/>
                      <w:szCs w:val="21"/>
                    </w:rPr>
                    <w:t>项目</w:t>
                  </w:r>
                  <w:r>
                    <w:rPr>
                      <w:rFonts w:hint="eastAsia"/>
                      <w:color w:val="000000"/>
                      <w:szCs w:val="21"/>
                    </w:rPr>
                    <w:t>不属于高耗水行业，</w:t>
                  </w:r>
                  <w:r>
                    <w:rPr>
                      <w:color w:val="000000"/>
                      <w:szCs w:val="21"/>
                    </w:rPr>
                    <w:t>不涉及</w:t>
                  </w:r>
                  <w:r>
                    <w:rPr>
                      <w:rFonts w:hint="eastAsia"/>
                      <w:color w:val="000000"/>
                      <w:szCs w:val="21"/>
                    </w:rPr>
                    <w:t>销售及</w:t>
                  </w:r>
                  <w:r>
                    <w:rPr>
                      <w:color w:val="000000"/>
                      <w:szCs w:val="21"/>
                    </w:rPr>
                    <w:t>使用燃料</w:t>
                  </w:r>
                </w:p>
              </w:tc>
              <w:tc>
                <w:tcPr>
                  <w:tcW w:w="571" w:type="pct"/>
                  <w:noWrap w:val="0"/>
                  <w:vAlign w:val="center"/>
                </w:tcPr>
                <w:p>
                  <w:pPr>
                    <w:spacing w:before="48" w:beforeLines="20" w:after="48" w:afterLines="20"/>
                    <w:jc w:val="center"/>
                    <w:rPr>
                      <w:color w:val="000000"/>
                      <w:szCs w:val="21"/>
                    </w:rPr>
                  </w:pPr>
                  <w:r>
                    <w:rPr>
                      <w:color w:val="000000"/>
                      <w:szCs w:val="21"/>
                    </w:rPr>
                    <w:t>相符</w:t>
                  </w:r>
                </w:p>
              </w:tc>
            </w:tr>
          </w:tbl>
          <w:p>
            <w:pPr>
              <w:pStyle w:val="5"/>
              <w:adjustRightInd w:val="0"/>
              <w:snapToGrid w:val="0"/>
              <w:spacing w:before="120" w:beforeLines="50"/>
              <w:ind w:firstLine="482"/>
              <w:rPr>
                <w:b/>
                <w:bCs/>
                <w:color w:val="000000"/>
                <w:sz w:val="24"/>
              </w:rPr>
            </w:pPr>
            <w:r>
              <w:rPr>
                <w:rFonts w:hint="eastAsia"/>
                <w:b/>
                <w:bCs/>
                <w:color w:val="000000"/>
                <w:sz w:val="24"/>
              </w:rPr>
              <w:t>表1-8  与常州市“三线一单”生态环境分区管控实施方案相符性</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3"/>
              <w:gridCol w:w="696"/>
              <w:gridCol w:w="4173"/>
              <w:gridCol w:w="1484"/>
              <w:gridCol w:w="6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noWrap w:val="0"/>
                  <w:vAlign w:val="center"/>
                </w:tcPr>
                <w:p>
                  <w:pPr>
                    <w:spacing w:before="48" w:beforeLines="20" w:after="48" w:afterLines="20"/>
                    <w:jc w:val="center"/>
                    <w:rPr>
                      <w:b/>
                      <w:bCs/>
                      <w:color w:val="000000"/>
                      <w:szCs w:val="21"/>
                    </w:rPr>
                  </w:pPr>
                  <w:r>
                    <w:rPr>
                      <w:b/>
                      <w:bCs/>
                      <w:color w:val="000000"/>
                      <w:szCs w:val="21"/>
                    </w:rPr>
                    <w:t>序号</w:t>
                  </w:r>
                </w:p>
              </w:tc>
              <w:tc>
                <w:tcPr>
                  <w:tcW w:w="3218" w:type="pct"/>
                  <w:gridSpan w:val="2"/>
                  <w:noWrap w:val="0"/>
                  <w:vAlign w:val="center"/>
                </w:tcPr>
                <w:p>
                  <w:pPr>
                    <w:spacing w:before="48" w:beforeLines="20" w:after="48" w:afterLines="20"/>
                    <w:jc w:val="center"/>
                    <w:rPr>
                      <w:b/>
                      <w:bCs/>
                      <w:color w:val="000000"/>
                      <w:szCs w:val="21"/>
                    </w:rPr>
                  </w:pPr>
                  <w:r>
                    <w:rPr>
                      <w:b/>
                      <w:bCs/>
                      <w:color w:val="000000"/>
                      <w:szCs w:val="21"/>
                    </w:rPr>
                    <w:t>管控要求</w:t>
                  </w:r>
                </w:p>
              </w:tc>
              <w:tc>
                <w:tcPr>
                  <w:tcW w:w="981" w:type="pct"/>
                  <w:noWrap w:val="0"/>
                  <w:vAlign w:val="center"/>
                </w:tcPr>
                <w:p>
                  <w:pPr>
                    <w:spacing w:before="48" w:beforeLines="20" w:after="48" w:afterLines="20"/>
                    <w:jc w:val="center"/>
                    <w:rPr>
                      <w:b/>
                      <w:bCs/>
                      <w:color w:val="000000"/>
                      <w:szCs w:val="21"/>
                    </w:rPr>
                  </w:pPr>
                  <w:r>
                    <w:rPr>
                      <w:b/>
                      <w:color w:val="000000"/>
                      <w:szCs w:val="21"/>
                    </w:rPr>
                    <w:t>本项目相关内容</w:t>
                  </w:r>
                </w:p>
              </w:tc>
              <w:tc>
                <w:tcPr>
                  <w:tcW w:w="427" w:type="pct"/>
                  <w:noWrap w:val="0"/>
                  <w:vAlign w:val="center"/>
                </w:tcPr>
                <w:p>
                  <w:pPr>
                    <w:spacing w:before="48" w:beforeLines="20" w:after="48" w:afterLines="20"/>
                    <w:jc w:val="center"/>
                    <w:rPr>
                      <w:b/>
                      <w:bCs/>
                      <w:color w:val="000000"/>
                      <w:szCs w:val="21"/>
                    </w:rPr>
                  </w:pPr>
                  <w:r>
                    <w:rPr>
                      <w:b/>
                      <w:bCs/>
                      <w:color w:val="000000"/>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noWrap w:val="0"/>
                  <w:vAlign w:val="center"/>
                </w:tcPr>
                <w:p>
                  <w:pPr>
                    <w:spacing w:before="48" w:beforeLines="20" w:after="48" w:afterLines="20"/>
                    <w:jc w:val="center"/>
                    <w:rPr>
                      <w:color w:val="000000"/>
                      <w:szCs w:val="21"/>
                    </w:rPr>
                  </w:pPr>
                  <w:r>
                    <w:rPr>
                      <w:color w:val="000000"/>
                      <w:szCs w:val="21"/>
                    </w:rPr>
                    <w:t>1</w:t>
                  </w:r>
                </w:p>
              </w:tc>
              <w:tc>
                <w:tcPr>
                  <w:tcW w:w="460" w:type="pct"/>
                  <w:noWrap w:val="0"/>
                  <w:vAlign w:val="center"/>
                </w:tcPr>
                <w:p>
                  <w:pPr>
                    <w:spacing w:before="48" w:beforeLines="20" w:after="48" w:afterLines="20"/>
                    <w:jc w:val="center"/>
                    <w:rPr>
                      <w:color w:val="000000"/>
                      <w:szCs w:val="21"/>
                    </w:rPr>
                  </w:pPr>
                  <w:r>
                    <w:rPr>
                      <w:color w:val="000000"/>
                      <w:szCs w:val="21"/>
                    </w:rPr>
                    <w:t>空间布局约束</w:t>
                  </w:r>
                </w:p>
              </w:tc>
              <w:tc>
                <w:tcPr>
                  <w:tcW w:w="2757" w:type="pct"/>
                  <w:noWrap w:val="0"/>
                  <w:vAlign w:val="center"/>
                </w:tcPr>
                <w:p>
                  <w:pPr>
                    <w:spacing w:before="48" w:beforeLines="20" w:after="48" w:afterLines="20"/>
                    <w:jc w:val="center"/>
                    <w:rPr>
                      <w:color w:val="000000"/>
                      <w:szCs w:val="21"/>
                    </w:rPr>
                  </w:pPr>
                  <w:r>
                    <w:rPr>
                      <w:color w:val="000000"/>
                      <w:szCs w:val="21"/>
                    </w:rPr>
                    <w:t>（1）禁止引入纺织服装中废水排放量较大的纯印染和纯染整类企业（除金坛时尚织染集聚区）。（2）禁止引入机械电子、高端装备制造业中电镀、表面处理类企业，淘汰、限制类的如普通高速钢钻头、铣刀、锯片、丝锥、板牙项目、普通微小型球轴承制造项目；禁止生产国家禁止或公告停止销售的车辆；有害物质含量超标准的汽车。（3）禁止引入化工中与盐化工及下游产品生产不相关的化工项目。（4）禁止引入新材料产业中太阳能电池切片生产项目。（5）禁止引入化工新材料中钢铁等传统型金属材料；水泥等传统型非金属材料。（6）禁止引入新医药产业中不符合GMP要求的安瓿拉丝灌封机、劳动保护、安瓿灌装注射用无菌粉末、非易折安瓿等。</w:t>
                  </w:r>
                </w:p>
              </w:tc>
              <w:tc>
                <w:tcPr>
                  <w:tcW w:w="981" w:type="pct"/>
                  <w:noWrap w:val="0"/>
                  <w:vAlign w:val="center"/>
                </w:tcPr>
                <w:p>
                  <w:pPr>
                    <w:spacing w:before="48" w:beforeLines="20" w:after="48" w:afterLines="20"/>
                    <w:jc w:val="center"/>
                    <w:rPr>
                      <w:color w:val="000000"/>
                      <w:szCs w:val="21"/>
                    </w:rPr>
                  </w:pPr>
                  <w:r>
                    <w:rPr>
                      <w:rFonts w:hint="eastAsia"/>
                      <w:color w:val="000000"/>
                      <w:szCs w:val="21"/>
                    </w:rPr>
                    <w:t>项目行业类别为</w:t>
                  </w:r>
                  <w:r>
                    <w:rPr>
                      <w:rFonts w:hint="eastAsia"/>
                      <w:color w:val="000000"/>
                      <w:szCs w:val="21"/>
                      <w:lang w:val="en-US" w:eastAsia="zh-CN"/>
                    </w:rPr>
                    <w:t>其他医疗设备及器械制造</w:t>
                  </w:r>
                  <w:r>
                    <w:rPr>
                      <w:rFonts w:hint="eastAsia"/>
                      <w:color w:val="000000"/>
                      <w:szCs w:val="21"/>
                    </w:rPr>
                    <w:t>，不属于以上禁止类项目</w:t>
                  </w:r>
                </w:p>
              </w:tc>
              <w:tc>
                <w:tcPr>
                  <w:tcW w:w="427" w:type="pct"/>
                  <w:noWrap w:val="0"/>
                  <w:vAlign w:val="center"/>
                </w:tcPr>
                <w:p>
                  <w:pPr>
                    <w:spacing w:before="48" w:beforeLines="20" w:after="48" w:afterLines="20"/>
                    <w:jc w:val="center"/>
                    <w:rPr>
                      <w:color w:val="000000"/>
                      <w:szCs w:val="21"/>
                    </w:rPr>
                  </w:pPr>
                  <w:r>
                    <w:rPr>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noWrap w:val="0"/>
                  <w:vAlign w:val="center"/>
                </w:tcPr>
                <w:p>
                  <w:pPr>
                    <w:spacing w:before="48" w:beforeLines="20" w:after="48" w:afterLines="20"/>
                    <w:jc w:val="center"/>
                    <w:rPr>
                      <w:color w:val="000000"/>
                      <w:szCs w:val="21"/>
                    </w:rPr>
                  </w:pPr>
                  <w:r>
                    <w:rPr>
                      <w:color w:val="000000"/>
                      <w:szCs w:val="21"/>
                    </w:rPr>
                    <w:t>2</w:t>
                  </w:r>
                </w:p>
              </w:tc>
              <w:tc>
                <w:tcPr>
                  <w:tcW w:w="460" w:type="pct"/>
                  <w:noWrap w:val="0"/>
                  <w:vAlign w:val="center"/>
                </w:tcPr>
                <w:p>
                  <w:pPr>
                    <w:spacing w:before="48" w:beforeLines="20" w:after="48" w:afterLines="20"/>
                    <w:jc w:val="center"/>
                    <w:rPr>
                      <w:color w:val="000000"/>
                      <w:szCs w:val="21"/>
                    </w:rPr>
                  </w:pPr>
                  <w:r>
                    <w:rPr>
                      <w:color w:val="000000"/>
                      <w:szCs w:val="21"/>
                    </w:rPr>
                    <w:t>污染物排放管控</w:t>
                  </w:r>
                </w:p>
              </w:tc>
              <w:tc>
                <w:tcPr>
                  <w:tcW w:w="2757" w:type="pct"/>
                  <w:noWrap w:val="0"/>
                  <w:vAlign w:val="center"/>
                </w:tcPr>
                <w:p>
                  <w:pPr>
                    <w:spacing w:before="48" w:beforeLines="20" w:after="48" w:afterLines="20"/>
                    <w:jc w:val="center"/>
                    <w:rPr>
                      <w:color w:val="000000"/>
                      <w:szCs w:val="21"/>
                    </w:rPr>
                  </w:pPr>
                  <w:r>
                    <w:rPr>
                      <w:color w:val="000000"/>
                      <w:szCs w:val="21"/>
                    </w:rPr>
                    <w:t>（1）严格实施污染物总量控制制度，根据区域环境质量改善目标，采取有效措施减少主要污染物排放总量，确保区域环境质量持续改善。（2）园区污染物排放总量不得突破环评报告及批复的总量。</w:t>
                  </w:r>
                </w:p>
              </w:tc>
              <w:tc>
                <w:tcPr>
                  <w:tcW w:w="981" w:type="pct"/>
                  <w:noWrap w:val="0"/>
                  <w:vAlign w:val="center"/>
                </w:tcPr>
                <w:p>
                  <w:pPr>
                    <w:spacing w:before="48" w:beforeLines="20" w:after="48" w:afterLines="20"/>
                    <w:jc w:val="center"/>
                    <w:rPr>
                      <w:color w:val="000000"/>
                      <w:szCs w:val="21"/>
                    </w:rPr>
                  </w:pPr>
                  <w:r>
                    <w:rPr>
                      <w:rFonts w:hint="eastAsia"/>
                      <w:color w:val="000000"/>
                      <w:szCs w:val="21"/>
                    </w:rPr>
                    <w:t>建设项目将根据要求向</w:t>
                  </w:r>
                  <w:r>
                    <w:rPr>
                      <w:color w:val="000000"/>
                      <w:szCs w:val="21"/>
                    </w:rPr>
                    <w:t>常州市金坛生态环境局申请总量</w:t>
                  </w:r>
                </w:p>
              </w:tc>
              <w:tc>
                <w:tcPr>
                  <w:tcW w:w="427" w:type="pct"/>
                  <w:noWrap w:val="0"/>
                  <w:vAlign w:val="center"/>
                </w:tcPr>
                <w:p>
                  <w:pPr>
                    <w:spacing w:before="48" w:beforeLines="20" w:after="48" w:afterLines="20"/>
                    <w:jc w:val="center"/>
                    <w:rPr>
                      <w:color w:val="000000"/>
                      <w:szCs w:val="21"/>
                    </w:rPr>
                  </w:pPr>
                  <w:r>
                    <w:rPr>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noWrap w:val="0"/>
                  <w:vAlign w:val="center"/>
                </w:tcPr>
                <w:p>
                  <w:pPr>
                    <w:spacing w:before="48" w:beforeLines="20" w:after="48" w:afterLines="20"/>
                    <w:jc w:val="center"/>
                    <w:rPr>
                      <w:color w:val="000000"/>
                      <w:szCs w:val="21"/>
                    </w:rPr>
                  </w:pPr>
                  <w:r>
                    <w:rPr>
                      <w:color w:val="000000"/>
                      <w:szCs w:val="21"/>
                    </w:rPr>
                    <w:t>3</w:t>
                  </w:r>
                </w:p>
              </w:tc>
              <w:tc>
                <w:tcPr>
                  <w:tcW w:w="460" w:type="pct"/>
                  <w:noWrap w:val="0"/>
                  <w:vAlign w:val="center"/>
                </w:tcPr>
                <w:p>
                  <w:pPr>
                    <w:spacing w:before="48" w:beforeLines="20" w:after="48" w:afterLines="20"/>
                    <w:jc w:val="center"/>
                    <w:rPr>
                      <w:color w:val="000000"/>
                      <w:szCs w:val="21"/>
                    </w:rPr>
                  </w:pPr>
                  <w:r>
                    <w:rPr>
                      <w:color w:val="000000"/>
                      <w:szCs w:val="21"/>
                    </w:rPr>
                    <w:t>环境风险防控</w:t>
                  </w:r>
                </w:p>
              </w:tc>
              <w:tc>
                <w:tcPr>
                  <w:tcW w:w="2757" w:type="pct"/>
                  <w:noWrap w:val="0"/>
                  <w:vAlign w:val="center"/>
                </w:tcPr>
                <w:p>
                  <w:pPr>
                    <w:spacing w:before="48" w:beforeLines="20" w:after="48" w:afterLines="20"/>
                    <w:jc w:val="center"/>
                    <w:rPr>
                      <w:color w:val="000000"/>
                      <w:szCs w:val="21"/>
                    </w:rPr>
                  </w:pPr>
                  <w:r>
                    <w:rPr>
                      <w:color w:val="000000"/>
                      <w:szCs w:val="21"/>
                    </w:rPr>
                    <w:t>（1）园区建立环境应急体系，完善事故应急救援体系，加强应急物资装备储备，编制突发环境事件应急预案，定期开展演练。（2）生产、使用、储存危险化学品或其他存在环境风险的企事业单位，应当制定风险防范措施，编制完善突发环境事件应急预案，防止发生环境污染事故。（3）加强环境影响跟踪监测，建立健全各环境要素监控体系，完善并落实园区日常环境监测与污染源监控计划。</w:t>
                  </w:r>
                </w:p>
              </w:tc>
              <w:tc>
                <w:tcPr>
                  <w:tcW w:w="981" w:type="pct"/>
                  <w:noWrap w:val="0"/>
                  <w:vAlign w:val="center"/>
                </w:tcPr>
                <w:p>
                  <w:pPr>
                    <w:spacing w:before="48" w:beforeLines="20" w:after="48" w:afterLines="20"/>
                    <w:jc w:val="center"/>
                    <w:rPr>
                      <w:color w:val="000000"/>
                      <w:szCs w:val="21"/>
                    </w:rPr>
                  </w:pPr>
                  <w:r>
                    <w:rPr>
                      <w:rFonts w:hint="eastAsia"/>
                      <w:color w:val="000000"/>
                      <w:szCs w:val="21"/>
                    </w:rPr>
                    <w:t>项目不生产、使用</w:t>
                  </w:r>
                  <w:r>
                    <w:rPr>
                      <w:rFonts w:hint="eastAsia"/>
                      <w:color w:val="000000"/>
                      <w:szCs w:val="21"/>
                      <w:lang w:eastAsia="zh-CN"/>
                    </w:rPr>
                    <w:t>、</w:t>
                  </w:r>
                  <w:r>
                    <w:rPr>
                      <w:rFonts w:hint="eastAsia"/>
                      <w:color w:val="000000"/>
                      <w:szCs w:val="21"/>
                    </w:rPr>
                    <w:t>储存危险化学品</w:t>
                  </w:r>
                  <w:r>
                    <w:rPr>
                      <w:rFonts w:hint="eastAsia"/>
                      <w:color w:val="000000"/>
                      <w:szCs w:val="21"/>
                      <w:lang w:eastAsia="zh-CN"/>
                    </w:rPr>
                    <w:t>；</w:t>
                  </w:r>
                  <w:r>
                    <w:rPr>
                      <w:rFonts w:hint="eastAsia"/>
                      <w:color w:val="000000"/>
                      <w:szCs w:val="21"/>
                      <w:lang w:val="en-US" w:eastAsia="zh-CN"/>
                    </w:rPr>
                    <w:t>项目根据相关要求</w:t>
                  </w:r>
                  <w:r>
                    <w:rPr>
                      <w:rFonts w:hint="eastAsia"/>
                      <w:color w:val="000000"/>
                      <w:szCs w:val="21"/>
                    </w:rPr>
                    <w:t>制定</w:t>
                  </w:r>
                  <w:r>
                    <w:rPr>
                      <w:rFonts w:hint="eastAsia"/>
                      <w:color w:val="000000"/>
                      <w:szCs w:val="21"/>
                      <w:lang w:val="en-US" w:eastAsia="zh-CN"/>
                    </w:rPr>
                    <w:t>环境</w:t>
                  </w:r>
                  <w:r>
                    <w:rPr>
                      <w:rFonts w:hint="eastAsia"/>
                      <w:color w:val="000000"/>
                      <w:szCs w:val="21"/>
                    </w:rPr>
                    <w:t>监测计划</w:t>
                  </w:r>
                </w:p>
              </w:tc>
              <w:tc>
                <w:tcPr>
                  <w:tcW w:w="427" w:type="pct"/>
                  <w:noWrap w:val="0"/>
                  <w:vAlign w:val="center"/>
                </w:tcPr>
                <w:p>
                  <w:pPr>
                    <w:spacing w:before="48" w:beforeLines="20" w:after="48" w:afterLines="20"/>
                    <w:jc w:val="center"/>
                    <w:rPr>
                      <w:color w:val="000000"/>
                      <w:szCs w:val="21"/>
                    </w:rPr>
                  </w:pPr>
                  <w:r>
                    <w:rPr>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noWrap w:val="0"/>
                  <w:vAlign w:val="center"/>
                </w:tcPr>
                <w:p>
                  <w:pPr>
                    <w:spacing w:before="48" w:beforeLines="20" w:after="48" w:afterLines="20"/>
                    <w:jc w:val="center"/>
                    <w:rPr>
                      <w:color w:val="000000"/>
                      <w:szCs w:val="21"/>
                    </w:rPr>
                  </w:pPr>
                  <w:r>
                    <w:rPr>
                      <w:color w:val="000000"/>
                      <w:szCs w:val="21"/>
                    </w:rPr>
                    <w:t>4</w:t>
                  </w:r>
                </w:p>
              </w:tc>
              <w:tc>
                <w:tcPr>
                  <w:tcW w:w="460" w:type="pct"/>
                  <w:noWrap w:val="0"/>
                  <w:vAlign w:val="center"/>
                </w:tcPr>
                <w:p>
                  <w:pPr>
                    <w:spacing w:before="48" w:beforeLines="20" w:after="48" w:afterLines="20"/>
                    <w:jc w:val="center"/>
                    <w:rPr>
                      <w:color w:val="000000"/>
                      <w:szCs w:val="21"/>
                    </w:rPr>
                  </w:pPr>
                  <w:r>
                    <w:rPr>
                      <w:color w:val="000000"/>
                      <w:szCs w:val="21"/>
                    </w:rPr>
                    <w:t>资源利用效率要求</w:t>
                  </w:r>
                </w:p>
              </w:tc>
              <w:tc>
                <w:tcPr>
                  <w:tcW w:w="2757" w:type="pct"/>
                  <w:noWrap w:val="0"/>
                  <w:vAlign w:val="center"/>
                </w:tcPr>
                <w:p>
                  <w:pPr>
                    <w:spacing w:before="48" w:beforeLines="20" w:after="48" w:afterLines="20"/>
                    <w:jc w:val="center"/>
                    <w:rPr>
                      <w:color w:val="000000"/>
                      <w:szCs w:val="21"/>
                    </w:rPr>
                  </w:pPr>
                  <w:r>
                    <w:rPr>
                      <w:rFonts w:hint="eastAsia"/>
                      <w:color w:val="000000"/>
                      <w:szCs w:val="21"/>
                    </w:rPr>
                    <w:t>（1）大力倡导使用清洁能源。（2）提升废水资源化技术，提高水资源回用率。（3）严禁自建燃煤设施。</w:t>
                  </w:r>
                </w:p>
              </w:tc>
              <w:tc>
                <w:tcPr>
                  <w:tcW w:w="981" w:type="pct"/>
                  <w:noWrap w:val="0"/>
                  <w:vAlign w:val="center"/>
                </w:tcPr>
                <w:p>
                  <w:pPr>
                    <w:spacing w:before="48" w:beforeLines="20" w:after="48" w:afterLines="20"/>
                    <w:jc w:val="center"/>
                    <w:rPr>
                      <w:color w:val="000000"/>
                      <w:szCs w:val="21"/>
                    </w:rPr>
                  </w:pPr>
                  <w:r>
                    <w:rPr>
                      <w:rFonts w:hint="eastAsia"/>
                      <w:color w:val="000000"/>
                      <w:szCs w:val="21"/>
                    </w:rPr>
                    <w:t>项目产生的反渗透浓水、清洗废水以及生活污水接市政管网达标排放，研磨水箱更换废液统一收集后委托有资质单位处置，不外排，</w:t>
                  </w:r>
                  <w:r>
                    <w:rPr>
                      <w:color w:val="000000"/>
                      <w:szCs w:val="21"/>
                    </w:rPr>
                    <w:t>不使用燃料</w:t>
                  </w:r>
                </w:p>
              </w:tc>
              <w:tc>
                <w:tcPr>
                  <w:tcW w:w="427" w:type="pct"/>
                  <w:noWrap w:val="0"/>
                  <w:vAlign w:val="center"/>
                </w:tcPr>
                <w:p>
                  <w:pPr>
                    <w:spacing w:before="48" w:beforeLines="20" w:after="48" w:afterLines="20"/>
                    <w:jc w:val="center"/>
                    <w:rPr>
                      <w:color w:val="000000"/>
                      <w:szCs w:val="21"/>
                    </w:rPr>
                  </w:pPr>
                  <w:r>
                    <w:rPr>
                      <w:color w:val="000000"/>
                      <w:szCs w:val="21"/>
                    </w:rPr>
                    <w:t>相符</w:t>
                  </w:r>
                </w:p>
              </w:tc>
            </w:tr>
          </w:tbl>
          <w:p>
            <w:pPr>
              <w:pStyle w:val="5"/>
              <w:adjustRightInd w:val="0"/>
              <w:snapToGrid w:val="0"/>
              <w:spacing w:before="120" w:beforeLines="50" w:line="360" w:lineRule="auto"/>
              <w:ind w:firstLine="482"/>
              <w:rPr>
                <w:b/>
                <w:bCs/>
                <w:color w:val="000000"/>
                <w:sz w:val="24"/>
              </w:rPr>
            </w:pPr>
            <w:r>
              <w:rPr>
                <w:rFonts w:hint="eastAsia"/>
                <w:b/>
                <w:bCs/>
                <w:color w:val="000000"/>
                <w:sz w:val="24"/>
              </w:rPr>
              <w:t>（4）与《省生态环境厅关于进一步做好建设项目环境审批工作的通知》（苏环办[2019]36号）相符性</w:t>
            </w:r>
          </w:p>
          <w:p>
            <w:pPr>
              <w:pStyle w:val="5"/>
              <w:adjustRightInd w:val="0"/>
              <w:snapToGrid w:val="0"/>
              <w:spacing w:line="360" w:lineRule="auto"/>
              <w:ind w:firstLine="480"/>
              <w:rPr>
                <w:color w:val="0000FF"/>
                <w:sz w:val="24"/>
              </w:rPr>
            </w:pPr>
            <w:r>
              <w:rPr>
                <w:rFonts w:hint="eastAsia"/>
                <w:color w:val="000000"/>
                <w:sz w:val="24"/>
              </w:rPr>
              <w:t>项目与《省生态环境厅关于进一步做好建设项目环境审批工作的通知》（苏环办[2019]36号）相符性分析见表1-9。</w:t>
            </w:r>
          </w:p>
          <w:p>
            <w:pPr>
              <w:pStyle w:val="5"/>
              <w:adjustRightInd w:val="0"/>
              <w:snapToGrid w:val="0"/>
              <w:ind w:firstLine="0" w:firstLineChars="0"/>
              <w:jc w:val="center"/>
              <w:rPr>
                <w:b/>
                <w:bCs/>
                <w:color w:val="000000"/>
                <w:sz w:val="24"/>
              </w:rPr>
            </w:pPr>
            <w:r>
              <w:rPr>
                <w:rFonts w:hint="eastAsia"/>
                <w:b/>
                <w:bCs/>
                <w:color w:val="000000"/>
                <w:sz w:val="24"/>
              </w:rPr>
              <w:t>表1-9  与《省生态环境厅关于进一步做好建设项目环评审批工作的通知》相符性分析</w:t>
            </w:r>
          </w:p>
          <w:tbl>
            <w:tblPr>
              <w:tblStyle w:val="23"/>
              <w:tblW w:w="498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16"/>
              <w:gridCol w:w="2640"/>
              <w:gridCol w:w="6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6" w:type="dxa"/>
                  <w:noWrap w:val="0"/>
                  <w:vAlign w:val="center"/>
                </w:tcPr>
                <w:p>
                  <w:pPr>
                    <w:pStyle w:val="44"/>
                    <w:adjustRightInd w:val="0"/>
                    <w:snapToGrid w:val="0"/>
                    <w:spacing w:line="240" w:lineRule="auto"/>
                    <w:rPr>
                      <w:rFonts w:eastAsia="宋体"/>
                      <w:b/>
                      <w:color w:val="000000"/>
                      <w:szCs w:val="21"/>
                    </w:rPr>
                  </w:pPr>
                  <w:r>
                    <w:rPr>
                      <w:rFonts w:eastAsia="宋体"/>
                      <w:b/>
                      <w:color w:val="000000"/>
                      <w:szCs w:val="21"/>
                    </w:rPr>
                    <w:t>与项目相关要求</w:t>
                  </w:r>
                </w:p>
              </w:tc>
              <w:tc>
                <w:tcPr>
                  <w:tcW w:w="2640" w:type="dxa"/>
                  <w:noWrap w:val="0"/>
                  <w:vAlign w:val="center"/>
                </w:tcPr>
                <w:p>
                  <w:pPr>
                    <w:pStyle w:val="44"/>
                    <w:adjustRightInd w:val="0"/>
                    <w:snapToGrid w:val="0"/>
                    <w:spacing w:line="240" w:lineRule="auto"/>
                    <w:rPr>
                      <w:rFonts w:eastAsia="宋体"/>
                      <w:b/>
                      <w:color w:val="000000"/>
                      <w:szCs w:val="21"/>
                    </w:rPr>
                  </w:pPr>
                  <w:r>
                    <w:rPr>
                      <w:rFonts w:eastAsia="宋体"/>
                      <w:b/>
                      <w:color w:val="000000"/>
                      <w:szCs w:val="21"/>
                    </w:rPr>
                    <w:t>本项目相符性分析</w:t>
                  </w:r>
                </w:p>
              </w:tc>
              <w:tc>
                <w:tcPr>
                  <w:tcW w:w="679" w:type="dxa"/>
                  <w:noWrap w:val="0"/>
                  <w:vAlign w:val="center"/>
                </w:tcPr>
                <w:p>
                  <w:pPr>
                    <w:pStyle w:val="44"/>
                    <w:adjustRightInd w:val="0"/>
                    <w:snapToGrid w:val="0"/>
                    <w:spacing w:line="240" w:lineRule="auto"/>
                    <w:rPr>
                      <w:rFonts w:eastAsia="宋体"/>
                      <w:b/>
                      <w:color w:val="000000"/>
                      <w:szCs w:val="21"/>
                    </w:rPr>
                  </w:pPr>
                  <w:r>
                    <w:rPr>
                      <w:rFonts w:eastAsia="宋体"/>
                      <w:b/>
                      <w:color w:val="000000"/>
                      <w:szCs w:val="21"/>
                    </w:rPr>
                    <w:t>是否</w:t>
                  </w:r>
                  <w:r>
                    <w:rPr>
                      <w:rFonts w:hint="eastAsia" w:eastAsia="宋体"/>
                      <w:b/>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6" w:type="dxa"/>
                  <w:noWrap w:val="0"/>
                  <w:vAlign w:val="center"/>
                </w:tcPr>
                <w:p>
                  <w:pPr>
                    <w:adjustRightInd w:val="0"/>
                    <w:snapToGrid w:val="0"/>
                    <w:jc w:val="center"/>
                    <w:rPr>
                      <w:color w:val="000000"/>
                      <w:szCs w:val="21"/>
                    </w:rPr>
                  </w:pPr>
                  <w:r>
                    <w:rPr>
                      <w:color w:val="000000"/>
                      <w:szCs w:val="21"/>
                    </w:rPr>
                    <w:t>有下列情形之一的，不予批准：（1）建设项目类型及其选址、布局、规模等不符合环境保护法律法规和相关法定规划；（2）所在区域环境质量未达到国家或者地方环境质量标准，且建设项目拟采取的措施不能满足区域环境质量改善目标管理要求；（3）建设项目采取的污染防治措施无法确保污染物排放达到国家和地方排放标准，或者未采取必要措施预防和控制生态破坏；（4）改建、扩建和技术改造项目，未针对项目原有环境污染和生态破坏提出有效防止措施；（5）建设项目的环境影响报告书、环境影响报告表的基础资料数据明显不实，内容存在重大缺陷、遗漏，或者环境影响评价结论不明确、不合理。</w:t>
                  </w:r>
                </w:p>
              </w:tc>
              <w:tc>
                <w:tcPr>
                  <w:tcW w:w="2640" w:type="dxa"/>
                  <w:noWrap w:val="0"/>
                  <w:vAlign w:val="center"/>
                </w:tcPr>
                <w:p>
                  <w:pPr>
                    <w:adjustRightInd w:val="0"/>
                    <w:snapToGrid w:val="0"/>
                    <w:jc w:val="center"/>
                    <w:rPr>
                      <w:color w:val="000000"/>
                      <w:szCs w:val="21"/>
                    </w:rPr>
                  </w:pPr>
                  <w:r>
                    <w:rPr>
                      <w:color w:val="000000"/>
                      <w:szCs w:val="21"/>
                    </w:rPr>
                    <w:t>（1）</w:t>
                  </w:r>
                  <w:r>
                    <w:rPr>
                      <w:rFonts w:hint="eastAsia"/>
                      <w:color w:val="000000"/>
                      <w:szCs w:val="21"/>
                    </w:rPr>
                    <w:t>项目选址位于金坛经济开发区内，符合其规划要求；</w:t>
                  </w:r>
                  <w:r>
                    <w:rPr>
                      <w:color w:val="000000"/>
                      <w:szCs w:val="21"/>
                    </w:rPr>
                    <w:t>（2）</w:t>
                  </w:r>
                  <w:r>
                    <w:rPr>
                      <w:rFonts w:hint="eastAsia"/>
                      <w:color w:val="000000"/>
                      <w:szCs w:val="21"/>
                    </w:rPr>
                    <w:t>项目采取的措施能够满足区域环境质量改善目标管</w:t>
                  </w:r>
                  <w:r>
                    <w:rPr>
                      <w:rFonts w:hint="eastAsia" w:ascii="Times New Roman" w:hAnsi="Times New Roman" w:eastAsia="宋体" w:cs="Times New Roman"/>
                      <w:color w:val="000000"/>
                      <w:szCs w:val="21"/>
                    </w:rPr>
                    <w:t>理要求；（3）项目</w:t>
                  </w:r>
                  <w:r>
                    <w:rPr>
                      <w:rFonts w:hint="eastAsia" w:ascii="Times New Roman" w:hAnsi="Times New Roman" w:eastAsia="宋体" w:cs="Times New Roman"/>
                      <w:color w:val="000000"/>
                      <w:szCs w:val="21"/>
                      <w:lang w:val="en-US" w:eastAsia="zh-CN"/>
                    </w:rPr>
                    <w:t>已</w:t>
                  </w:r>
                  <w:r>
                    <w:rPr>
                      <w:rFonts w:hint="eastAsia" w:ascii="Times New Roman" w:hAnsi="Times New Roman" w:eastAsia="宋体" w:cs="Times New Roman"/>
                      <w:color w:val="000000"/>
                      <w:szCs w:val="21"/>
                    </w:rPr>
                    <w:t>采取必要措施预防和控制生态破坏；（4）本项目为新建项目，无原有环境污染；（5）本项目基础资料数据符合实际情况。</w:t>
                  </w:r>
                </w:p>
              </w:tc>
              <w:tc>
                <w:tcPr>
                  <w:tcW w:w="679" w:type="dxa"/>
                  <w:noWrap w:val="0"/>
                  <w:vAlign w:val="center"/>
                </w:tcPr>
                <w:p>
                  <w:pPr>
                    <w:pStyle w:val="44"/>
                    <w:adjustRightInd w:val="0"/>
                    <w:snapToGrid w:val="0"/>
                    <w:spacing w:line="240" w:lineRule="auto"/>
                    <w:rPr>
                      <w:rFonts w:eastAsia="宋体"/>
                      <w:color w:val="000000"/>
                      <w:szCs w:val="21"/>
                    </w:rPr>
                  </w:pPr>
                  <w:r>
                    <w:rPr>
                      <w:rFonts w:hint="eastAsia" w:eastAsia="宋体"/>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6" w:type="dxa"/>
                  <w:noWrap w:val="0"/>
                  <w:vAlign w:val="center"/>
                </w:tcPr>
                <w:p>
                  <w:pPr>
                    <w:adjustRightInd w:val="0"/>
                    <w:snapToGrid w:val="0"/>
                    <w:jc w:val="center"/>
                    <w:rPr>
                      <w:color w:val="000000"/>
                      <w:szCs w:val="21"/>
                    </w:rPr>
                  </w:pPr>
                  <w:r>
                    <w:rPr>
                      <w:rFonts w:hint="eastAsia"/>
                      <w:color w:val="000000"/>
                      <w:szCs w:val="21"/>
                    </w:rPr>
                    <w:t>排放主要污染物的建设项目，在环境影响评价文件审批前，须取得主要污染物排放总量指标。</w:t>
                  </w:r>
                </w:p>
              </w:tc>
              <w:tc>
                <w:tcPr>
                  <w:tcW w:w="2640" w:type="dxa"/>
                  <w:noWrap w:val="0"/>
                  <w:vAlign w:val="center"/>
                </w:tcPr>
                <w:p>
                  <w:pPr>
                    <w:adjustRightInd w:val="0"/>
                    <w:snapToGrid w:val="0"/>
                    <w:jc w:val="center"/>
                    <w:rPr>
                      <w:color w:val="000000"/>
                      <w:szCs w:val="21"/>
                    </w:rPr>
                  </w:pPr>
                  <w:r>
                    <w:rPr>
                      <w:rFonts w:hint="eastAsia"/>
                      <w:color w:val="000000"/>
                      <w:szCs w:val="21"/>
                    </w:rPr>
                    <w:t>本项目需按要求取得总量指标。</w:t>
                  </w:r>
                </w:p>
              </w:tc>
              <w:tc>
                <w:tcPr>
                  <w:tcW w:w="679" w:type="dxa"/>
                  <w:noWrap w:val="0"/>
                  <w:vAlign w:val="center"/>
                </w:tcPr>
                <w:p>
                  <w:pPr>
                    <w:adjustRightInd w:val="0"/>
                    <w:snapToGrid w:val="0"/>
                    <w:spacing w:line="360" w:lineRule="auto"/>
                    <w:jc w:val="center"/>
                    <w:rPr>
                      <w:color w:val="000000"/>
                      <w:szCs w:val="21"/>
                    </w:rPr>
                  </w:pPr>
                  <w:r>
                    <w:rPr>
                      <w:rFonts w:hint="eastAsia"/>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6" w:type="dxa"/>
                  <w:noWrap w:val="0"/>
                  <w:vAlign w:val="center"/>
                </w:tcPr>
                <w:p>
                  <w:pPr>
                    <w:adjustRightInd w:val="0"/>
                    <w:snapToGrid w:val="0"/>
                    <w:jc w:val="center"/>
                    <w:rPr>
                      <w:color w:val="000000"/>
                      <w:szCs w:val="21"/>
                    </w:rPr>
                  </w:pPr>
                  <w:r>
                    <w:rPr>
                      <w:rFonts w:hint="eastAsia"/>
                      <w:color w:val="000000"/>
                      <w:szCs w:val="21"/>
                    </w:rPr>
                    <w:t>严禁在长江干流及主要支流岸线1公里范围内新建布局化工园区和化工企业。</w:t>
                  </w:r>
                </w:p>
              </w:tc>
              <w:tc>
                <w:tcPr>
                  <w:tcW w:w="2640" w:type="dxa"/>
                  <w:noWrap w:val="0"/>
                  <w:vAlign w:val="center"/>
                </w:tcPr>
                <w:p>
                  <w:pPr>
                    <w:adjustRightInd w:val="0"/>
                    <w:snapToGrid w:val="0"/>
                    <w:jc w:val="center"/>
                    <w:rPr>
                      <w:color w:val="000000"/>
                      <w:szCs w:val="21"/>
                    </w:rPr>
                  </w:pPr>
                  <w:r>
                    <w:rPr>
                      <w:rFonts w:hint="eastAsia"/>
                      <w:color w:val="000000"/>
                      <w:szCs w:val="21"/>
                    </w:rPr>
                    <w:t>本项目不在长江干流及主要支流岸线1公里范围内。</w:t>
                  </w:r>
                </w:p>
              </w:tc>
              <w:tc>
                <w:tcPr>
                  <w:tcW w:w="679" w:type="dxa"/>
                  <w:noWrap w:val="0"/>
                  <w:vAlign w:val="center"/>
                </w:tcPr>
                <w:p>
                  <w:pPr>
                    <w:adjustRightInd w:val="0"/>
                    <w:snapToGrid w:val="0"/>
                    <w:spacing w:line="360" w:lineRule="auto"/>
                    <w:jc w:val="center"/>
                    <w:rPr>
                      <w:color w:val="000000"/>
                      <w:szCs w:val="21"/>
                    </w:rPr>
                  </w:pPr>
                  <w:r>
                    <w:rPr>
                      <w:rFonts w:hint="eastAsia"/>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6" w:type="dxa"/>
                  <w:noWrap w:val="0"/>
                  <w:vAlign w:val="center"/>
                </w:tcPr>
                <w:p>
                  <w:pPr>
                    <w:adjustRightInd w:val="0"/>
                    <w:snapToGrid w:val="0"/>
                    <w:jc w:val="center"/>
                    <w:rPr>
                      <w:color w:val="000000"/>
                      <w:szCs w:val="21"/>
                    </w:rPr>
                  </w:pPr>
                  <w:r>
                    <w:rPr>
                      <w:rFonts w:hint="eastAsia"/>
                      <w:color w:val="000000"/>
                      <w:szCs w:val="21"/>
                    </w:rPr>
                    <w:t>生态保护红线原则上按禁止开发区域的要求进行管理，严禁不符合主体功能定位的各类开发活动，严禁任意改变用途。</w:t>
                  </w:r>
                </w:p>
              </w:tc>
              <w:tc>
                <w:tcPr>
                  <w:tcW w:w="2640" w:type="dxa"/>
                  <w:noWrap w:val="0"/>
                  <w:vAlign w:val="center"/>
                </w:tcPr>
                <w:p>
                  <w:pPr>
                    <w:adjustRightInd w:val="0"/>
                    <w:snapToGrid w:val="0"/>
                    <w:jc w:val="center"/>
                    <w:rPr>
                      <w:color w:val="000000"/>
                      <w:szCs w:val="21"/>
                    </w:rPr>
                  </w:pPr>
                  <w:r>
                    <w:rPr>
                      <w:rFonts w:hint="eastAsia"/>
                      <w:color w:val="000000"/>
                      <w:szCs w:val="21"/>
                    </w:rPr>
                    <w:t>本项目不在生态保护红线范围内。</w:t>
                  </w:r>
                </w:p>
              </w:tc>
              <w:tc>
                <w:tcPr>
                  <w:tcW w:w="679" w:type="dxa"/>
                  <w:noWrap w:val="0"/>
                  <w:vAlign w:val="center"/>
                </w:tcPr>
                <w:p>
                  <w:pPr>
                    <w:adjustRightInd w:val="0"/>
                    <w:snapToGrid w:val="0"/>
                    <w:spacing w:line="360" w:lineRule="auto"/>
                    <w:jc w:val="center"/>
                    <w:rPr>
                      <w:color w:val="000000"/>
                      <w:szCs w:val="21"/>
                    </w:rPr>
                  </w:pPr>
                  <w:r>
                    <w:rPr>
                      <w:rFonts w:hint="eastAsia"/>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6" w:type="dxa"/>
                  <w:noWrap w:val="0"/>
                  <w:vAlign w:val="center"/>
                </w:tcPr>
                <w:p>
                  <w:pPr>
                    <w:adjustRightInd w:val="0"/>
                    <w:snapToGrid w:val="0"/>
                    <w:jc w:val="center"/>
                    <w:rPr>
                      <w:color w:val="000000"/>
                      <w:szCs w:val="21"/>
                    </w:rPr>
                  </w:pPr>
                  <w:r>
                    <w:rPr>
                      <w:rFonts w:hint="eastAsia"/>
                      <w:color w:val="000000"/>
                      <w:szCs w:val="21"/>
                    </w:rPr>
                    <w:t>禁止审批无法落实危险废物利用、处置途径的项目，从严审批危险废物产生量大、本地无配套利用处置能力、且需设区市统筹解决的项目。</w:t>
                  </w:r>
                </w:p>
              </w:tc>
              <w:tc>
                <w:tcPr>
                  <w:tcW w:w="2640" w:type="dxa"/>
                  <w:noWrap w:val="0"/>
                  <w:vAlign w:val="center"/>
                </w:tcPr>
                <w:p>
                  <w:pPr>
                    <w:adjustRightInd w:val="0"/>
                    <w:snapToGrid w:val="0"/>
                    <w:jc w:val="center"/>
                    <w:rPr>
                      <w:color w:val="000000"/>
                      <w:szCs w:val="21"/>
                    </w:rPr>
                  </w:pPr>
                  <w:r>
                    <w:rPr>
                      <w:rFonts w:hint="eastAsia"/>
                      <w:szCs w:val="21"/>
                    </w:rPr>
                    <w:t>本项目产生的主要危险废物为</w:t>
                  </w:r>
                  <w:r>
                    <w:rPr>
                      <w:rFonts w:hint="eastAsia"/>
                      <w:szCs w:val="21"/>
                      <w:lang w:val="en-US" w:eastAsia="zh-CN"/>
                    </w:rPr>
                    <w:t>废擦拭布以及研磨水箱更换废液</w:t>
                  </w:r>
                  <w:r>
                    <w:rPr>
                      <w:rFonts w:hint="eastAsia"/>
                      <w:szCs w:val="21"/>
                    </w:rPr>
                    <w:t>，收集后委托有资质单位处置。</w:t>
                  </w:r>
                </w:p>
              </w:tc>
              <w:tc>
                <w:tcPr>
                  <w:tcW w:w="679" w:type="dxa"/>
                  <w:noWrap w:val="0"/>
                  <w:vAlign w:val="center"/>
                </w:tcPr>
                <w:p>
                  <w:pPr>
                    <w:adjustRightInd w:val="0"/>
                    <w:snapToGrid w:val="0"/>
                    <w:spacing w:line="360" w:lineRule="auto"/>
                    <w:jc w:val="center"/>
                    <w:rPr>
                      <w:rFonts w:hint="eastAsia"/>
                      <w:color w:val="000000"/>
                      <w:szCs w:val="21"/>
                    </w:rPr>
                  </w:pPr>
                  <w:r>
                    <w:rPr>
                      <w:rFonts w:hint="eastAsia"/>
                      <w:color w:val="000000"/>
                      <w:szCs w:val="21"/>
                    </w:rPr>
                    <w:t>符合</w:t>
                  </w:r>
                </w:p>
              </w:tc>
            </w:tr>
          </w:tbl>
          <w:p>
            <w:pPr>
              <w:pStyle w:val="4"/>
              <w:numPr>
                <w:ilvl w:val="2"/>
                <w:numId w:val="0"/>
              </w:numPr>
              <w:spacing w:before="0" w:after="0" w:line="240" w:lineRule="auto"/>
              <w:rPr>
                <w:color w:val="0000FF"/>
                <w:sz w:val="24"/>
              </w:rPr>
            </w:pPr>
          </w:p>
        </w:tc>
      </w:tr>
    </w:tbl>
    <w:p>
      <w:pPr>
        <w:spacing w:line="360" w:lineRule="auto"/>
        <w:outlineLvl w:val="0"/>
        <w:rPr>
          <w:rFonts w:eastAsia="黑体"/>
          <w:color w:val="0000FF"/>
          <w:sz w:val="30"/>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0"/>
        <w:jc w:val="center"/>
        <w:outlineLvl w:val="0"/>
        <w:rPr>
          <w:rFonts w:cs="宋体"/>
          <w:b/>
          <w:bCs/>
          <w:snapToGrid w:val="0"/>
          <w:sz w:val="30"/>
          <w:szCs w:val="30"/>
        </w:rPr>
      </w:pPr>
      <w:bookmarkStart w:id="2" w:name="_Toc19828"/>
      <w:r>
        <w:rPr>
          <w:rFonts w:hint="eastAsia" w:cs="宋体"/>
          <w:b/>
          <w:bCs/>
          <w:snapToGrid w:val="0"/>
          <w:sz w:val="30"/>
          <w:szCs w:val="30"/>
        </w:rPr>
        <w:t>二、建设项目工程分析</w:t>
      </w:r>
      <w:bookmarkEnd w:id="2"/>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6"/>
        <w:gridCol w:w="86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356" w:type="dxa"/>
            <w:noWrap w:val="0"/>
            <w:vAlign w:val="center"/>
          </w:tcPr>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szCs w:val="24"/>
              </w:rPr>
            </w:pPr>
          </w:p>
          <w:p>
            <w:pPr>
              <w:pStyle w:val="20"/>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建设内容</w:t>
            </w: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szCs w:val="24"/>
              </w:rPr>
            </w:pPr>
            <w:r>
              <w:rPr>
                <w:rFonts w:hint="eastAsia" w:ascii="Times New Roman" w:hAnsi="Times New Roman"/>
                <w:szCs w:val="24"/>
              </w:rPr>
              <w:t>建设内容</w:t>
            </w: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szCs w:val="24"/>
              </w:rPr>
            </w:pPr>
            <w:r>
              <w:rPr>
                <w:rFonts w:hint="eastAsia" w:ascii="Times New Roman" w:hAnsi="Times New Roman"/>
                <w:szCs w:val="24"/>
              </w:rPr>
              <w:t>建设内容</w:t>
            </w: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szCs w:val="24"/>
              </w:rPr>
            </w:pPr>
            <w:r>
              <w:rPr>
                <w:rFonts w:hint="eastAsia" w:ascii="Times New Roman" w:hAnsi="Times New Roman"/>
                <w:szCs w:val="24"/>
              </w:rPr>
              <w:t>建设内容</w:t>
            </w: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p>
            <w:pPr>
              <w:pStyle w:val="20"/>
              <w:adjustRightInd w:val="0"/>
              <w:snapToGrid w:val="0"/>
              <w:spacing w:before="0" w:beforeAutospacing="0" w:after="0" w:afterAutospacing="0"/>
              <w:jc w:val="both"/>
              <w:rPr>
                <w:rFonts w:hint="eastAsia" w:ascii="Times New Roman" w:hAnsi="Times New Roman"/>
                <w:color w:val="0000FF"/>
                <w:szCs w:val="24"/>
              </w:rPr>
            </w:pPr>
          </w:p>
          <w:p>
            <w:pPr>
              <w:pStyle w:val="20"/>
              <w:adjustRightInd w:val="0"/>
              <w:snapToGrid w:val="0"/>
              <w:spacing w:before="0" w:beforeAutospacing="0" w:after="0" w:afterAutospacing="0"/>
              <w:jc w:val="both"/>
              <w:rPr>
                <w:rFonts w:hint="eastAsia" w:ascii="Times New Roman" w:hAnsi="Times New Roman"/>
                <w:color w:val="0000FF"/>
                <w:szCs w:val="24"/>
              </w:rPr>
            </w:pPr>
          </w:p>
          <w:p>
            <w:pPr>
              <w:pStyle w:val="20"/>
              <w:adjustRightInd w:val="0"/>
              <w:snapToGrid w:val="0"/>
              <w:spacing w:before="0" w:beforeAutospacing="0" w:after="0" w:afterAutospacing="0"/>
              <w:jc w:val="center"/>
              <w:rPr>
                <w:rFonts w:hint="eastAsia" w:ascii="Times New Roman" w:hAnsi="Times New Roman"/>
                <w:color w:val="0000FF"/>
                <w:szCs w:val="24"/>
              </w:rPr>
            </w:pPr>
          </w:p>
        </w:tc>
        <w:tc>
          <w:tcPr>
            <w:tcW w:w="8628" w:type="dxa"/>
            <w:noWrap w:val="0"/>
            <w:vAlign w:val="top"/>
          </w:tcPr>
          <w:p>
            <w:pPr>
              <w:adjustRightInd w:val="0"/>
              <w:snapToGrid w:val="0"/>
              <w:spacing w:line="360" w:lineRule="auto"/>
              <w:rPr>
                <w:b/>
                <w:bCs/>
                <w:sz w:val="24"/>
              </w:rPr>
            </w:pPr>
            <w:r>
              <w:rPr>
                <w:b/>
                <w:bCs/>
                <w:sz w:val="24"/>
              </w:rPr>
              <w:t>一、项目由来</w:t>
            </w:r>
          </w:p>
          <w:p>
            <w:pPr>
              <w:pStyle w:val="45"/>
              <w:adjustRightInd w:val="0"/>
              <w:snapToGrid w:val="0"/>
              <w:spacing w:line="360" w:lineRule="auto"/>
              <w:ind w:firstLine="480"/>
              <w:jc w:val="both"/>
              <w:rPr>
                <w:rFonts w:hint="eastAsia" w:eastAsia="宋体"/>
                <w:b w:val="0"/>
                <w:bCs/>
              </w:rPr>
            </w:pPr>
            <w:r>
              <w:rPr>
                <w:rFonts w:hint="eastAsia" w:eastAsia="宋体"/>
                <w:b w:val="0"/>
                <w:bCs/>
              </w:rPr>
              <w:t>常州凯士多医疗科技有限公司拟投资</w:t>
            </w:r>
            <w:r>
              <w:rPr>
                <w:rFonts w:hint="eastAsia" w:eastAsia="宋体"/>
                <w:b w:val="0"/>
                <w:bCs/>
                <w:lang w:val="en-US" w:eastAsia="zh-CN"/>
              </w:rPr>
              <w:t>500</w:t>
            </w:r>
            <w:r>
              <w:rPr>
                <w:rFonts w:hint="eastAsia" w:eastAsia="宋体"/>
                <w:b w:val="0"/>
                <w:bCs/>
              </w:rPr>
              <w:t>万元</w:t>
            </w:r>
            <w:r>
              <w:rPr>
                <w:rFonts w:hint="eastAsia" w:eastAsia="宋体"/>
                <w:b w:val="0"/>
                <w:bCs/>
                <w:highlight w:val="none"/>
              </w:rPr>
              <w:t>新建</w:t>
            </w:r>
            <w:r>
              <w:rPr>
                <w:rFonts w:hint="eastAsia" w:eastAsia="宋体"/>
                <w:b w:val="0"/>
                <w:bCs/>
                <w:highlight w:val="none"/>
                <w:lang w:eastAsia="zh-CN"/>
              </w:rPr>
              <w:t>内镜微创医疗器械研发及生产项目</w:t>
            </w:r>
            <w:r>
              <w:rPr>
                <w:rFonts w:hint="eastAsia" w:eastAsia="宋体"/>
                <w:b w:val="0"/>
                <w:bCs/>
              </w:rPr>
              <w:t>，</w:t>
            </w:r>
            <w:r>
              <w:rPr>
                <w:rFonts w:hint="eastAsia" w:eastAsia="宋体"/>
                <w:b w:val="0"/>
              </w:rPr>
              <w:t>拟建地位于金坛经济开发区华城路1668号国际工业城5号楼北楼四层</w:t>
            </w:r>
            <w:r>
              <w:rPr>
                <w:rFonts w:hint="eastAsia" w:eastAsia="宋体"/>
                <w:b w:val="0"/>
                <w:bCs/>
              </w:rPr>
              <w:t>（</w:t>
            </w:r>
            <w:r>
              <w:rPr>
                <w:rFonts w:eastAsia="宋体"/>
                <w:b w:val="0"/>
                <w:bCs/>
                <w:highlight w:val="none"/>
              </w:rPr>
              <w:t>地理位置详见附图一</w:t>
            </w:r>
            <w:r>
              <w:rPr>
                <w:rFonts w:hint="eastAsia" w:eastAsia="宋体"/>
                <w:b w:val="0"/>
                <w:bCs/>
                <w:highlight w:val="none"/>
              </w:rPr>
              <w:t>）</w:t>
            </w:r>
            <w:r>
              <w:rPr>
                <w:rFonts w:hint="eastAsia" w:eastAsia="宋体"/>
                <w:b w:val="0"/>
                <w:bCs/>
              </w:rPr>
              <w:t>。项目</w:t>
            </w:r>
            <w:r>
              <w:rPr>
                <w:rFonts w:hint="eastAsia" w:eastAsia="宋体"/>
                <w:b w:val="0"/>
              </w:rPr>
              <w:t>租赁</w:t>
            </w:r>
            <w:r>
              <w:rPr>
                <w:rFonts w:hint="eastAsia" w:eastAsia="宋体"/>
                <w:b w:val="0"/>
                <w:highlight w:val="none"/>
              </w:rPr>
              <w:t>常州</w:t>
            </w:r>
            <w:r>
              <w:rPr>
                <w:rFonts w:hint="eastAsia" w:eastAsia="宋体"/>
                <w:b w:val="0"/>
                <w:highlight w:val="none"/>
                <w:lang w:val="en-US" w:eastAsia="zh-CN"/>
              </w:rPr>
              <w:t>江苏华科园投资发展有限公司</w:t>
            </w:r>
            <w:r>
              <w:rPr>
                <w:rFonts w:hint="eastAsia" w:eastAsia="宋体"/>
                <w:b w:val="0"/>
                <w:highlight w:val="none"/>
              </w:rPr>
              <w:t>已建</w:t>
            </w:r>
            <w:r>
              <w:rPr>
                <w:rFonts w:hint="eastAsia" w:eastAsia="宋体"/>
                <w:b w:val="0"/>
                <w:highlight w:val="none"/>
                <w:lang w:val="en-US" w:eastAsia="zh-CN"/>
              </w:rPr>
              <w:t>厂房</w:t>
            </w:r>
            <w:r>
              <w:rPr>
                <w:rFonts w:hint="eastAsia" w:eastAsia="宋体"/>
                <w:b w:val="0"/>
                <w:highlight w:val="none"/>
              </w:rPr>
              <w:t>一</w:t>
            </w:r>
            <w:r>
              <w:rPr>
                <w:rFonts w:hint="eastAsia" w:eastAsia="宋体"/>
                <w:b w:val="0"/>
                <w:highlight w:val="none"/>
                <w:lang w:val="en-US" w:eastAsia="zh-CN"/>
              </w:rPr>
              <w:t>东侧</w:t>
            </w:r>
            <w:r>
              <w:rPr>
                <w:rFonts w:hint="eastAsia" w:eastAsia="宋体"/>
                <w:b w:val="0"/>
                <w:highlight w:val="none"/>
              </w:rPr>
              <w:t>部分闲置区域</w:t>
            </w:r>
            <w:r>
              <w:rPr>
                <w:rFonts w:hint="eastAsia" w:eastAsia="宋体"/>
                <w:b w:val="0"/>
              </w:rPr>
              <w:t>，</w:t>
            </w:r>
            <w:r>
              <w:rPr>
                <w:rFonts w:hint="eastAsia" w:eastAsia="宋体"/>
                <w:b w:val="0"/>
                <w:bCs/>
              </w:rPr>
              <w:t>建筑</w:t>
            </w:r>
            <w:r>
              <w:rPr>
                <w:rFonts w:eastAsia="宋体"/>
                <w:b w:val="0"/>
                <w:bCs/>
              </w:rPr>
              <w:t>面积</w:t>
            </w:r>
            <w:r>
              <w:rPr>
                <w:rFonts w:hint="eastAsia" w:eastAsia="宋体"/>
                <w:b w:val="0"/>
                <w:bCs/>
              </w:rPr>
              <w:t>共1</w:t>
            </w:r>
            <w:r>
              <w:rPr>
                <w:rFonts w:hint="eastAsia" w:eastAsia="宋体"/>
                <w:b w:val="0"/>
                <w:bCs/>
                <w:lang w:val="en-US" w:eastAsia="zh-CN"/>
              </w:rPr>
              <w:t>900</w:t>
            </w:r>
            <w:r>
              <w:rPr>
                <w:rFonts w:eastAsia="宋体"/>
                <w:b w:val="0"/>
                <w:bCs/>
              </w:rPr>
              <w:t>m</w:t>
            </w:r>
            <w:r>
              <w:rPr>
                <w:rFonts w:eastAsia="宋体"/>
                <w:b w:val="0"/>
                <w:bCs/>
                <w:vertAlign w:val="superscript"/>
              </w:rPr>
              <w:t>2</w:t>
            </w:r>
            <w:r>
              <w:rPr>
                <w:rFonts w:hint="eastAsia" w:eastAsia="宋体"/>
                <w:b w:val="0"/>
                <w:bCs/>
              </w:rPr>
              <w:t>，</w:t>
            </w:r>
            <w:r>
              <w:rPr>
                <w:rFonts w:eastAsia="宋体"/>
                <w:b w:val="0"/>
                <w:bCs/>
              </w:rPr>
              <w:t>购置</w:t>
            </w:r>
            <w:r>
              <w:rPr>
                <w:rFonts w:hint="eastAsia" w:eastAsia="宋体"/>
                <w:b w:val="0"/>
                <w:bCs/>
              </w:rPr>
              <w:t>激光焊接机</w:t>
            </w:r>
            <w:r>
              <w:rPr>
                <w:rFonts w:hint="eastAsia" w:eastAsia="宋体"/>
                <w:b w:val="0"/>
                <w:bCs/>
                <w:lang w:eastAsia="zh-CN"/>
              </w:rPr>
              <w:t>、磁力研磨机</w:t>
            </w:r>
            <w:r>
              <w:rPr>
                <w:rFonts w:eastAsia="宋体"/>
                <w:b w:val="0"/>
                <w:bCs/>
              </w:rPr>
              <w:t>等设备</w:t>
            </w:r>
            <w:r>
              <w:rPr>
                <w:rFonts w:hint="eastAsia" w:eastAsia="宋体"/>
                <w:b w:val="0"/>
                <w:bCs/>
              </w:rPr>
              <w:t>，</w:t>
            </w:r>
            <w:r>
              <w:rPr>
                <w:rFonts w:eastAsia="宋体"/>
                <w:b w:val="0"/>
                <w:bCs/>
              </w:rPr>
              <w:t>建成后将具备年产</w:t>
            </w:r>
            <w:r>
              <w:rPr>
                <w:rFonts w:hint="eastAsia" w:eastAsia="宋体"/>
                <w:b w:val="0"/>
                <w:bCs/>
              </w:rPr>
              <w:t>一次性使用活检钳</w:t>
            </w:r>
            <w:r>
              <w:rPr>
                <w:rFonts w:hint="eastAsia" w:eastAsia="宋体"/>
                <w:b w:val="0"/>
                <w:bCs/>
                <w:lang w:val="en-US" w:eastAsia="zh-CN"/>
              </w:rPr>
              <w:t>100万个</w:t>
            </w:r>
            <w:r>
              <w:rPr>
                <w:rFonts w:hint="eastAsia" w:eastAsia="宋体"/>
                <w:b w:val="0"/>
                <w:bCs/>
              </w:rPr>
              <w:t>、一次性使用电圈套器50万</w:t>
            </w:r>
            <w:r>
              <w:rPr>
                <w:rFonts w:hint="eastAsia" w:eastAsia="宋体"/>
                <w:b w:val="0"/>
                <w:bCs/>
                <w:lang w:val="en-US" w:eastAsia="zh-CN"/>
              </w:rPr>
              <w:t>个、一次性使用注射针</w:t>
            </w:r>
            <w:r>
              <w:rPr>
                <w:rFonts w:hint="eastAsia" w:eastAsia="宋体"/>
                <w:b w:val="0"/>
                <w:bCs/>
              </w:rPr>
              <w:t>50万</w:t>
            </w:r>
            <w:r>
              <w:rPr>
                <w:rFonts w:hint="eastAsia" w:eastAsia="宋体"/>
                <w:b w:val="0"/>
                <w:bCs/>
                <w:lang w:val="en-US" w:eastAsia="zh-CN"/>
              </w:rPr>
              <w:t>个</w:t>
            </w:r>
            <w:r>
              <w:rPr>
                <w:rFonts w:eastAsia="宋体"/>
                <w:b w:val="0"/>
                <w:bCs/>
              </w:rPr>
              <w:t>的生产能力</w:t>
            </w:r>
            <w:r>
              <w:rPr>
                <w:rFonts w:hint="eastAsia" w:eastAsia="宋体"/>
                <w:b w:val="0"/>
              </w:rPr>
              <w:t>。</w:t>
            </w:r>
          </w:p>
          <w:p>
            <w:pPr>
              <w:pStyle w:val="45"/>
              <w:adjustRightInd w:val="0"/>
              <w:snapToGrid w:val="0"/>
              <w:spacing w:line="360" w:lineRule="auto"/>
              <w:ind w:firstLine="480"/>
              <w:jc w:val="both"/>
              <w:rPr>
                <w:rFonts w:ascii="Times New Roman" w:hAnsi="Times New Roman" w:eastAsia="宋体" w:cs="Times New Roman"/>
                <w:b w:val="0"/>
                <w:bCs w:val="0"/>
              </w:rPr>
            </w:pPr>
            <w:r>
              <w:rPr>
                <w:rFonts w:ascii="Times New Roman" w:hAnsi="Times New Roman" w:eastAsia="宋体" w:cs="Times New Roman"/>
                <w:b w:val="0"/>
                <w:bCs w:val="0"/>
              </w:rPr>
              <w:t>根据《中华人民共和国环境保护法》</w:t>
            </w:r>
            <w:r>
              <w:rPr>
                <w:rFonts w:hint="eastAsia" w:ascii="Times New Roman" w:hAnsi="Times New Roman" w:eastAsia="宋体" w:cs="Times New Roman"/>
                <w:b w:val="0"/>
                <w:bCs w:val="0"/>
                <w:lang w:eastAsia="zh-CN"/>
              </w:rPr>
              <w:t>、</w:t>
            </w:r>
            <w:r>
              <w:rPr>
                <w:rFonts w:ascii="Times New Roman" w:hAnsi="Times New Roman" w:eastAsia="宋体" w:cs="Times New Roman"/>
                <w:b w:val="0"/>
                <w:bCs w:val="0"/>
              </w:rPr>
              <w:t>《中华人民共和国环境影响评价法》和《建设项目环境保护管理条例》中有关规定</w:t>
            </w:r>
            <w:r>
              <w:rPr>
                <w:rFonts w:hint="eastAsia" w:ascii="Times New Roman" w:hAnsi="Times New Roman" w:eastAsia="宋体" w:cs="Times New Roman"/>
                <w:b w:val="0"/>
                <w:bCs w:val="0"/>
              </w:rPr>
              <w:t>及</w:t>
            </w:r>
            <w:r>
              <w:rPr>
                <w:rFonts w:ascii="Times New Roman" w:hAnsi="Times New Roman" w:eastAsia="宋体" w:cs="Times New Roman"/>
                <w:b w:val="0"/>
                <w:bCs w:val="0"/>
              </w:rPr>
              <w:t>《建设项目环境影响评价分类管理名录》（2021年版）中相关规定</w:t>
            </w:r>
            <w:r>
              <w:rPr>
                <w:rFonts w:hint="eastAsia" w:ascii="Times New Roman" w:hAnsi="Times New Roman" w:eastAsia="宋体" w:cs="Times New Roman"/>
                <w:b w:val="0"/>
                <w:bCs w:val="0"/>
                <w:lang w:eastAsia="zh-CN"/>
              </w:rPr>
              <w:t>，</w:t>
            </w:r>
            <w:r>
              <w:rPr>
                <w:rFonts w:ascii="Times New Roman" w:hAnsi="Times New Roman" w:eastAsia="宋体" w:cs="Times New Roman"/>
                <w:b w:val="0"/>
                <w:bCs w:val="0"/>
              </w:rPr>
              <w:t>本项目属于</w:t>
            </w:r>
            <w:r>
              <w:rPr>
                <w:rFonts w:hint="eastAsia" w:ascii="Times New Roman" w:hAnsi="Times New Roman" w:eastAsia="宋体" w:cs="Times New Roman"/>
                <w:b w:val="0"/>
                <w:bCs w:val="0"/>
              </w:rPr>
              <w:t>“</w:t>
            </w:r>
            <w:r>
              <w:rPr>
                <w:rFonts w:hint="eastAsia" w:ascii="Times New Roman" w:hAnsi="Times New Roman" w:eastAsia="宋体" w:cs="Times New Roman"/>
                <w:b w:val="0"/>
                <w:bCs w:val="0"/>
                <w:lang w:val="en-US" w:eastAsia="zh-CN"/>
              </w:rPr>
              <w:t>三十二、专用设备制造业35”中的“医疗仪器设备及器械制造358”，属于“其他（仅分割、焊接、组装的除外；年用非溶剂型低VOCs含量涂料10吨以下的除外）”，</w:t>
            </w:r>
            <w:r>
              <w:rPr>
                <w:rFonts w:ascii="Times New Roman" w:hAnsi="Times New Roman" w:eastAsia="宋体" w:cs="Times New Roman"/>
                <w:b w:val="0"/>
                <w:bCs w:val="0"/>
              </w:rPr>
              <w:t>因此项目应编制环境影响报告表。</w:t>
            </w:r>
          </w:p>
          <w:p>
            <w:pPr>
              <w:pStyle w:val="45"/>
              <w:adjustRightInd w:val="0"/>
              <w:snapToGrid w:val="0"/>
              <w:spacing w:line="360" w:lineRule="auto"/>
              <w:ind w:firstLine="480"/>
              <w:jc w:val="both"/>
              <w:rPr>
                <w:rFonts w:eastAsia="宋体"/>
                <w:b w:val="0"/>
                <w:bCs/>
              </w:rPr>
            </w:pPr>
            <w:r>
              <w:rPr>
                <w:rFonts w:hint="eastAsia" w:eastAsia="宋体"/>
                <w:b w:val="0"/>
                <w:bCs/>
                <w:lang w:eastAsia="zh-CN"/>
              </w:rPr>
              <w:t>常州凯士多医疗科技有限公司</w:t>
            </w:r>
            <w:r>
              <w:rPr>
                <w:rFonts w:eastAsia="宋体"/>
                <w:b w:val="0"/>
                <w:bCs/>
              </w:rPr>
              <w:t>委托我单位对该项目进行环境影响报告表编制工作。我单位在接受委托后，在现场实地踏勘，搜集相关资料的基础上，依据《中华人民共和国环境保护法》（2014年修订）、《中华人民共和国环境影响评价法》（2018年修订）、《建设项目环境保护管理条例》（国务院第682号令）及《建设项目环境影响评价分类管理名录》（2021年版）等相关法律法规的规定，编制完成本环境影响报告表，供建设单位报环境保护行政主管部门审批和作为污染防治建设的依据。</w:t>
            </w:r>
          </w:p>
          <w:p>
            <w:pPr>
              <w:pStyle w:val="45"/>
              <w:adjustRightInd w:val="0"/>
              <w:snapToGrid w:val="0"/>
              <w:spacing w:line="360" w:lineRule="auto"/>
              <w:ind w:left="0" w:leftChars="0" w:firstLine="0" w:firstLineChars="0"/>
              <w:jc w:val="both"/>
              <w:rPr>
                <w:rFonts w:hint="default" w:eastAsia="宋体" w:cs="Times New Roman"/>
                <w:b/>
                <w:bCs/>
                <w:lang w:val="en-US" w:eastAsia="zh-CN"/>
              </w:rPr>
            </w:pPr>
            <w:r>
              <w:rPr>
                <w:rFonts w:hint="eastAsia" w:eastAsia="宋体" w:cs="Times New Roman"/>
                <w:b/>
                <w:bCs/>
                <w:lang w:val="en-US" w:eastAsia="zh-CN"/>
              </w:rPr>
              <w:t>二、建设内容</w:t>
            </w:r>
          </w:p>
          <w:p>
            <w:pPr>
              <w:pStyle w:val="40"/>
              <w:spacing w:line="360" w:lineRule="auto"/>
              <w:ind w:firstLine="482"/>
              <w:rPr>
                <w:rFonts w:eastAsia="宋体"/>
                <w:b/>
                <w:bCs/>
              </w:rPr>
            </w:pPr>
            <w:r>
              <w:rPr>
                <w:rFonts w:eastAsia="宋体"/>
                <w:b/>
                <w:bCs/>
              </w:rPr>
              <w:t>1、项目产品方案</w:t>
            </w:r>
          </w:p>
          <w:p>
            <w:pPr>
              <w:pStyle w:val="40"/>
              <w:spacing w:line="360" w:lineRule="auto"/>
              <w:ind w:firstLine="480"/>
              <w:rPr>
                <w:rFonts w:eastAsia="宋体"/>
              </w:rPr>
            </w:pPr>
            <w:r>
              <w:rPr>
                <w:rFonts w:eastAsia="宋体"/>
              </w:rPr>
              <w:t>本项目主体工程及产品方案见表2-1。</w:t>
            </w:r>
          </w:p>
          <w:p>
            <w:pPr>
              <w:pStyle w:val="46"/>
              <w:spacing w:beforeLines="0" w:afterLines="0"/>
              <w:rPr>
                <w:rFonts w:eastAsia="宋体"/>
              </w:rPr>
            </w:pPr>
            <w:r>
              <w:rPr>
                <w:rFonts w:eastAsia="宋体"/>
              </w:rPr>
              <w:t>表2-1  建设项目主体工程及产品方案</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43"/>
              <w:gridCol w:w="1778"/>
              <w:gridCol w:w="2293"/>
              <w:gridCol w:w="1995"/>
              <w:gridCol w:w="170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2" w:type="pct"/>
                  <w:noWrap w:val="0"/>
                  <w:vAlign w:val="center"/>
                </w:tcPr>
                <w:p>
                  <w:pPr>
                    <w:pStyle w:val="47"/>
                    <w:rPr>
                      <w:rFonts w:eastAsia="宋体"/>
                      <w:szCs w:val="21"/>
                    </w:rPr>
                  </w:pPr>
                  <w:r>
                    <w:rPr>
                      <w:rFonts w:eastAsia="宋体"/>
                      <w:szCs w:val="21"/>
                    </w:rPr>
                    <w:t>序号</w:t>
                  </w:r>
                </w:p>
              </w:tc>
              <w:tc>
                <w:tcPr>
                  <w:tcW w:w="1057" w:type="pct"/>
                  <w:noWrap w:val="0"/>
                  <w:vAlign w:val="center"/>
                </w:tcPr>
                <w:p>
                  <w:pPr>
                    <w:pStyle w:val="47"/>
                    <w:rPr>
                      <w:rFonts w:eastAsia="宋体"/>
                      <w:szCs w:val="21"/>
                    </w:rPr>
                  </w:pPr>
                  <w:r>
                    <w:rPr>
                      <w:rFonts w:eastAsia="宋体"/>
                      <w:szCs w:val="21"/>
                    </w:rPr>
                    <w:t>工程名称</w:t>
                  </w:r>
                </w:p>
              </w:tc>
              <w:tc>
                <w:tcPr>
                  <w:tcW w:w="1363" w:type="pct"/>
                  <w:noWrap w:val="0"/>
                  <w:vAlign w:val="center"/>
                </w:tcPr>
                <w:p>
                  <w:pPr>
                    <w:pStyle w:val="47"/>
                    <w:rPr>
                      <w:rFonts w:eastAsia="宋体"/>
                      <w:szCs w:val="21"/>
                    </w:rPr>
                  </w:pPr>
                  <w:r>
                    <w:rPr>
                      <w:rFonts w:eastAsia="宋体"/>
                      <w:szCs w:val="21"/>
                    </w:rPr>
                    <w:t>产品名称</w:t>
                  </w:r>
                </w:p>
              </w:tc>
              <w:tc>
                <w:tcPr>
                  <w:tcW w:w="1186" w:type="pct"/>
                  <w:noWrap w:val="0"/>
                  <w:vAlign w:val="center"/>
                </w:tcPr>
                <w:p>
                  <w:pPr>
                    <w:pStyle w:val="47"/>
                    <w:rPr>
                      <w:rFonts w:eastAsia="宋体"/>
                      <w:szCs w:val="21"/>
                    </w:rPr>
                  </w:pPr>
                  <w:r>
                    <w:rPr>
                      <w:rFonts w:eastAsia="宋体"/>
                      <w:szCs w:val="21"/>
                    </w:rPr>
                    <w:t>设计能力</w:t>
                  </w:r>
                </w:p>
              </w:tc>
              <w:tc>
                <w:tcPr>
                  <w:tcW w:w="1010" w:type="pct"/>
                  <w:noWrap w:val="0"/>
                  <w:vAlign w:val="center"/>
                </w:tcPr>
                <w:p>
                  <w:pPr>
                    <w:pStyle w:val="47"/>
                    <w:rPr>
                      <w:rFonts w:eastAsia="宋体"/>
                      <w:szCs w:val="21"/>
                    </w:rPr>
                  </w:pPr>
                  <w:r>
                    <w:rPr>
                      <w:rFonts w:eastAsia="宋体"/>
                      <w:szCs w:val="21"/>
                    </w:rPr>
                    <w:t>年运行时数（h）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2" w:type="pct"/>
                  <w:noWrap w:val="0"/>
                  <w:vAlign w:val="center"/>
                </w:tcPr>
                <w:p>
                  <w:pPr>
                    <w:pStyle w:val="48"/>
                    <w:adjustRightInd w:val="0"/>
                    <w:snapToGrid w:val="0"/>
                    <w:rPr>
                      <w:rFonts w:eastAsia="宋体"/>
                    </w:rPr>
                  </w:pPr>
                  <w:r>
                    <w:rPr>
                      <w:rFonts w:eastAsia="宋体"/>
                    </w:rPr>
                    <w:t>1</w:t>
                  </w:r>
                </w:p>
              </w:tc>
              <w:tc>
                <w:tcPr>
                  <w:tcW w:w="1057"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装配生产线</w:t>
                  </w:r>
                </w:p>
              </w:tc>
              <w:tc>
                <w:tcPr>
                  <w:tcW w:w="1363"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一次性使用活检钳</w:t>
                  </w:r>
                </w:p>
              </w:tc>
              <w:tc>
                <w:tcPr>
                  <w:tcW w:w="1186"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100万个/年</w:t>
                  </w:r>
                </w:p>
              </w:tc>
              <w:tc>
                <w:tcPr>
                  <w:tcW w:w="1010"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2400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2" w:type="pct"/>
                  <w:noWrap w:val="0"/>
                  <w:vAlign w:val="center"/>
                </w:tcPr>
                <w:p>
                  <w:pPr>
                    <w:pStyle w:val="48"/>
                    <w:adjustRightInd w:val="0"/>
                    <w:snapToGrid w:val="0"/>
                    <w:rPr>
                      <w:rFonts w:eastAsia="宋体"/>
                    </w:rPr>
                  </w:pPr>
                  <w:r>
                    <w:rPr>
                      <w:rFonts w:eastAsia="宋体"/>
                    </w:rPr>
                    <w:t>2</w:t>
                  </w:r>
                </w:p>
              </w:tc>
              <w:tc>
                <w:tcPr>
                  <w:tcW w:w="1057"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装配生产线</w:t>
                  </w:r>
                </w:p>
              </w:tc>
              <w:tc>
                <w:tcPr>
                  <w:tcW w:w="1363"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一次性使用电圈套器</w:t>
                  </w:r>
                </w:p>
              </w:tc>
              <w:tc>
                <w:tcPr>
                  <w:tcW w:w="1186"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50万个/年</w:t>
                  </w:r>
                </w:p>
              </w:tc>
              <w:tc>
                <w:tcPr>
                  <w:tcW w:w="101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2400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2" w:type="pct"/>
                  <w:noWrap w:val="0"/>
                  <w:vAlign w:val="center"/>
                </w:tcPr>
                <w:p>
                  <w:pPr>
                    <w:pStyle w:val="48"/>
                    <w:adjustRightInd w:val="0"/>
                    <w:snapToGrid w:val="0"/>
                    <w:rPr>
                      <w:rFonts w:hint="eastAsia" w:eastAsia="宋体"/>
                      <w:lang w:val="en-US" w:eastAsia="zh-CN"/>
                    </w:rPr>
                  </w:pPr>
                  <w:r>
                    <w:rPr>
                      <w:rFonts w:hint="eastAsia" w:eastAsia="宋体"/>
                      <w:lang w:val="en-US" w:eastAsia="zh-CN"/>
                    </w:rPr>
                    <w:t>3</w:t>
                  </w:r>
                </w:p>
              </w:tc>
              <w:tc>
                <w:tcPr>
                  <w:tcW w:w="1057"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装配生产线</w:t>
                  </w:r>
                </w:p>
              </w:tc>
              <w:tc>
                <w:tcPr>
                  <w:tcW w:w="1363"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一次性使用注射针 </w:t>
                  </w:r>
                </w:p>
              </w:tc>
              <w:tc>
                <w:tcPr>
                  <w:tcW w:w="1186"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50万个/年</w:t>
                  </w:r>
                </w:p>
              </w:tc>
              <w:tc>
                <w:tcPr>
                  <w:tcW w:w="101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2400</w:t>
                  </w:r>
                </w:p>
              </w:tc>
            </w:tr>
          </w:tbl>
          <w:p>
            <w:pPr>
              <w:pStyle w:val="8"/>
              <w:adjustRightInd w:val="0"/>
              <w:snapToGrid w:val="0"/>
              <w:spacing w:line="360" w:lineRule="auto"/>
              <w:ind w:firstLine="482" w:firstLineChars="200"/>
              <w:rPr>
                <w:rFonts w:hint="eastAsia" w:ascii="Times New Roman" w:hAnsi="Times New Roman" w:eastAsia="宋体" w:cs="Times New Roman"/>
                <w:b/>
                <w:bCs/>
              </w:rPr>
            </w:pPr>
            <w:r>
              <w:rPr>
                <w:rFonts w:hint="eastAsia" w:ascii="Times New Roman" w:hAnsi="Times New Roman" w:eastAsia="宋体" w:cs="Times New Roman"/>
                <w:b/>
                <w:bCs/>
              </w:rPr>
              <w:t>2、劳动定员及工作制度</w:t>
            </w:r>
          </w:p>
          <w:p>
            <w:pPr>
              <w:pStyle w:val="8"/>
              <w:adjustRightInd w:val="0"/>
              <w:snapToGrid w:val="0"/>
              <w:spacing w:line="360" w:lineRule="auto"/>
              <w:ind w:firstLine="480" w:firstLineChars="200"/>
              <w:rPr>
                <w:rFonts w:hint="default" w:ascii="Times New Roman" w:hAnsi="Times New Roman" w:eastAsia="宋体" w:cs="Times New Roman"/>
                <w:lang w:val="en-US" w:eastAsia="zh-CN"/>
              </w:rPr>
            </w:pPr>
            <w:r>
              <w:rPr>
                <w:rFonts w:hint="eastAsia" w:ascii="Times New Roman" w:hAnsi="Times New Roman" w:eastAsia="宋体" w:cs="Times New Roman"/>
              </w:rPr>
              <w:t>劳动定员：</w:t>
            </w:r>
            <w:r>
              <w:rPr>
                <w:rFonts w:hint="eastAsia" w:ascii="Times New Roman" w:hAnsi="Times New Roman" w:eastAsia="宋体" w:cs="Times New Roman"/>
                <w:lang w:val="en-US" w:eastAsia="zh-CN"/>
              </w:rPr>
              <w:t>员工25人，不设食堂、住宿。</w:t>
            </w:r>
          </w:p>
          <w:p>
            <w:pPr>
              <w:pStyle w:val="8"/>
              <w:adjustRightInd w:val="0"/>
              <w:snapToGrid w:val="0"/>
              <w:spacing w:line="360" w:lineRule="auto"/>
              <w:ind w:firstLine="480" w:firstLineChars="20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rPr>
              <w:t>工作制度：</w:t>
            </w:r>
            <w:r>
              <w:rPr>
                <w:rFonts w:hint="eastAsia" w:ascii="Times New Roman" w:hAnsi="Times New Roman" w:eastAsia="宋体" w:cs="Times New Roman"/>
                <w:b w:val="0"/>
                <w:bCs w:val="0"/>
                <w:lang w:val="en-US" w:eastAsia="zh-CN"/>
              </w:rPr>
              <w:t>一天一班，每班次8小时，年工作300天。</w:t>
            </w:r>
          </w:p>
          <w:p>
            <w:pPr>
              <w:spacing w:line="360" w:lineRule="auto"/>
              <w:ind w:firstLine="482" w:firstLineChars="200"/>
              <w:rPr>
                <w:b/>
                <w:bCs/>
                <w:sz w:val="24"/>
                <w:highlight w:val="none"/>
              </w:rPr>
            </w:pPr>
            <w:r>
              <w:rPr>
                <w:b/>
                <w:bCs/>
                <w:sz w:val="24"/>
                <w:highlight w:val="none"/>
              </w:rPr>
              <w:t>3、项目主要建设内容</w:t>
            </w:r>
          </w:p>
          <w:p>
            <w:pPr>
              <w:spacing w:line="360" w:lineRule="auto"/>
              <w:ind w:firstLine="480" w:firstLineChars="200"/>
              <w:rPr>
                <w:rFonts w:hint="eastAsia"/>
              </w:rPr>
            </w:pPr>
            <w:r>
              <w:rPr>
                <w:sz w:val="24"/>
              </w:rPr>
              <w:t>本项目主要建设内容见表2-2。</w:t>
            </w:r>
          </w:p>
          <w:p>
            <w:pPr>
              <w:jc w:val="center"/>
              <w:rPr>
                <w:b/>
                <w:bCs/>
                <w:sz w:val="24"/>
                <w:highlight w:val="none"/>
              </w:rPr>
            </w:pPr>
            <w:r>
              <w:rPr>
                <w:b/>
                <w:bCs/>
                <w:sz w:val="24"/>
                <w:highlight w:val="none"/>
              </w:rPr>
              <w:t xml:space="preserve">表2-2  </w:t>
            </w:r>
            <w:r>
              <w:rPr>
                <w:rFonts w:hint="eastAsia"/>
                <w:b/>
                <w:bCs/>
                <w:sz w:val="24"/>
                <w:highlight w:val="none"/>
              </w:rPr>
              <w:t>项目建设内容一览表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677"/>
              <w:gridCol w:w="572"/>
              <w:gridCol w:w="851"/>
              <w:gridCol w:w="2565"/>
              <w:gridCol w:w="1909"/>
              <w:gridCol w:w="1835"/>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340" w:hRule="atLeast"/>
                <w:jc w:val="center"/>
              </w:trPr>
              <w:tc>
                <w:tcPr>
                  <w:tcW w:w="402" w:type="pct"/>
                  <w:tcBorders>
                    <w:top w:val="single" w:color="auto" w:sz="12" w:space="0"/>
                    <w:left w:val="nil"/>
                    <w:bottom w:val="single" w:color="auto" w:sz="4" w:space="0"/>
                    <w:right w:val="single" w:color="auto" w:sz="6" w:space="0"/>
                  </w:tcBorders>
                  <w:noWrap w:val="0"/>
                  <w:vAlign w:val="center"/>
                </w:tcPr>
                <w:p>
                  <w:pPr>
                    <w:pStyle w:val="47"/>
                    <w:rPr>
                      <w:rFonts w:eastAsia="宋体"/>
                      <w:szCs w:val="21"/>
                    </w:rPr>
                  </w:pPr>
                  <w:r>
                    <w:rPr>
                      <w:rFonts w:hint="eastAsia" w:eastAsia="宋体"/>
                      <w:szCs w:val="21"/>
                    </w:rPr>
                    <w:t>类别</w:t>
                  </w:r>
                </w:p>
              </w:tc>
              <w:tc>
                <w:tcPr>
                  <w:tcW w:w="846" w:type="pct"/>
                  <w:gridSpan w:val="2"/>
                  <w:tcBorders>
                    <w:top w:val="single" w:color="auto" w:sz="12" w:space="0"/>
                    <w:left w:val="single" w:color="auto" w:sz="6" w:space="0"/>
                    <w:bottom w:val="single" w:color="auto" w:sz="4" w:space="0"/>
                    <w:right w:val="single" w:color="auto" w:sz="6" w:space="0"/>
                  </w:tcBorders>
                  <w:noWrap w:val="0"/>
                  <w:vAlign w:val="center"/>
                </w:tcPr>
                <w:p>
                  <w:pPr>
                    <w:pStyle w:val="47"/>
                    <w:rPr>
                      <w:rFonts w:hint="eastAsia" w:eastAsia="宋体"/>
                      <w:szCs w:val="21"/>
                    </w:rPr>
                  </w:pPr>
                  <w:r>
                    <w:rPr>
                      <w:rFonts w:hint="eastAsia" w:eastAsia="宋体"/>
                      <w:szCs w:val="21"/>
                    </w:rPr>
                    <w:t>单项工程名称</w:t>
                  </w:r>
                </w:p>
              </w:tc>
              <w:tc>
                <w:tcPr>
                  <w:tcW w:w="1525" w:type="pct"/>
                  <w:tcBorders>
                    <w:top w:val="single" w:color="auto" w:sz="12" w:space="0"/>
                    <w:left w:val="single" w:color="auto" w:sz="6" w:space="0"/>
                    <w:bottom w:val="single" w:color="auto" w:sz="4" w:space="0"/>
                    <w:right w:val="single" w:color="auto" w:sz="6" w:space="0"/>
                  </w:tcBorders>
                  <w:noWrap w:val="0"/>
                  <w:vAlign w:val="center"/>
                </w:tcPr>
                <w:p>
                  <w:pPr>
                    <w:pStyle w:val="47"/>
                    <w:rPr>
                      <w:rFonts w:hint="eastAsia" w:eastAsia="宋体"/>
                      <w:szCs w:val="21"/>
                    </w:rPr>
                  </w:pPr>
                  <w:r>
                    <w:rPr>
                      <w:rFonts w:hint="eastAsia" w:eastAsia="宋体"/>
                      <w:szCs w:val="21"/>
                    </w:rPr>
                    <w:t>工程内容</w:t>
                  </w:r>
                </w:p>
              </w:tc>
              <w:tc>
                <w:tcPr>
                  <w:tcW w:w="1135" w:type="pct"/>
                  <w:tcBorders>
                    <w:top w:val="single" w:color="auto" w:sz="12" w:space="0"/>
                    <w:left w:val="single" w:color="auto" w:sz="6" w:space="0"/>
                    <w:bottom w:val="single" w:color="auto" w:sz="4" w:space="0"/>
                    <w:right w:val="single" w:color="auto" w:sz="6" w:space="0"/>
                  </w:tcBorders>
                  <w:noWrap w:val="0"/>
                  <w:vAlign w:val="center"/>
                </w:tcPr>
                <w:p>
                  <w:pPr>
                    <w:pStyle w:val="47"/>
                    <w:rPr>
                      <w:rFonts w:hint="eastAsia" w:eastAsia="宋体"/>
                      <w:szCs w:val="21"/>
                    </w:rPr>
                  </w:pPr>
                  <w:r>
                    <w:rPr>
                      <w:rFonts w:hint="eastAsia" w:eastAsia="宋体"/>
                      <w:szCs w:val="21"/>
                    </w:rPr>
                    <w:t>工程规模</w:t>
                  </w:r>
                </w:p>
              </w:tc>
              <w:tc>
                <w:tcPr>
                  <w:tcW w:w="1091" w:type="pct"/>
                  <w:tcBorders>
                    <w:top w:val="single" w:color="auto" w:sz="12" w:space="0"/>
                    <w:left w:val="single" w:color="auto" w:sz="6" w:space="0"/>
                    <w:bottom w:val="single" w:color="auto" w:sz="4" w:space="0"/>
                    <w:right w:val="nil"/>
                  </w:tcBorders>
                  <w:noWrap w:val="0"/>
                  <w:vAlign w:val="center"/>
                </w:tcPr>
                <w:p>
                  <w:pPr>
                    <w:pStyle w:val="47"/>
                    <w:rPr>
                      <w:rFonts w:eastAsia="宋体"/>
                      <w:szCs w:val="21"/>
                    </w:rPr>
                  </w:pPr>
                  <w:r>
                    <w:rPr>
                      <w:rFonts w:hint="eastAsia" w:eastAsia="宋体"/>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340" w:hRule="atLeast"/>
                <w:jc w:val="center"/>
              </w:trPr>
              <w:tc>
                <w:tcPr>
                  <w:tcW w:w="402" w:type="pct"/>
                  <w:tcBorders>
                    <w:top w:val="single" w:color="auto" w:sz="4" w:space="0"/>
                    <w:left w:val="nil"/>
                    <w:bottom w:val="single" w:color="auto" w:sz="4" w:space="0"/>
                    <w:right w:val="single" w:color="auto" w:sz="6" w:space="0"/>
                  </w:tcBorders>
                  <w:noWrap w:val="0"/>
                  <w:vAlign w:val="center"/>
                </w:tcPr>
                <w:p>
                  <w:pPr>
                    <w:pStyle w:val="48"/>
                    <w:adjustRightInd w:val="0"/>
                    <w:snapToGrid w:val="0"/>
                    <w:rPr>
                      <w:rFonts w:eastAsia="宋体"/>
                    </w:rPr>
                  </w:pPr>
                  <w:r>
                    <w:rPr>
                      <w:rFonts w:hint="eastAsia" w:eastAsia="宋体"/>
                    </w:rPr>
                    <w:t>主体工程</w:t>
                  </w:r>
                </w:p>
              </w:tc>
              <w:tc>
                <w:tcPr>
                  <w:tcW w:w="846" w:type="pct"/>
                  <w:gridSpan w:val="2"/>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hint="eastAsia" w:eastAsia="宋体"/>
                    </w:rPr>
                  </w:pPr>
                  <w:r>
                    <w:rPr>
                      <w:rFonts w:hint="eastAsia" w:eastAsia="宋体"/>
                    </w:rPr>
                    <w:t>生产车间</w:t>
                  </w:r>
                </w:p>
              </w:tc>
              <w:tc>
                <w:tcPr>
                  <w:tcW w:w="1525" w:type="pct"/>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hint="default" w:eastAsia="宋体"/>
                      <w:lang w:val="en-US" w:eastAsia="zh-CN"/>
                    </w:rPr>
                  </w:pPr>
                  <w:r>
                    <w:rPr>
                      <w:rFonts w:hint="eastAsia" w:eastAsia="宋体"/>
                      <w:lang w:val="en-US" w:eastAsia="zh-CN"/>
                    </w:rPr>
                    <w:t>本项目设一条生产线生产三个产品，生产工序依次为拆包检验、焊接、抛光、清洗、装配、包装、委外灭菌、检验。</w:t>
                  </w:r>
                </w:p>
              </w:tc>
              <w:tc>
                <w:tcPr>
                  <w:tcW w:w="1135" w:type="pct"/>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eastAsia="宋体"/>
                    </w:rPr>
                  </w:pPr>
                  <w:r>
                    <w:rPr>
                      <w:rFonts w:hint="eastAsia" w:eastAsia="宋体"/>
                    </w:rPr>
                    <w:t>年产一次性使用活检钳100万个、一次性使用电圈套器50万个、一次性使用注射针50万个；建筑面积</w:t>
                  </w:r>
                  <w:r>
                    <w:rPr>
                      <w:rFonts w:hint="eastAsia" w:eastAsia="宋体"/>
                      <w:lang w:val="en-US" w:eastAsia="zh-CN"/>
                    </w:rPr>
                    <w:t>1000</w:t>
                  </w:r>
                  <w:r>
                    <w:rPr>
                      <w:rFonts w:hint="eastAsia" w:eastAsia="宋体"/>
                    </w:rPr>
                    <w:t>m</w:t>
                  </w:r>
                  <w:r>
                    <w:rPr>
                      <w:rFonts w:hint="eastAsia" w:eastAsia="宋体"/>
                      <w:vertAlign w:val="superscript"/>
                    </w:rPr>
                    <w:t>2</w:t>
                  </w:r>
                </w:p>
              </w:tc>
              <w:tc>
                <w:tcPr>
                  <w:tcW w:w="1091" w:type="pct"/>
                  <w:tcBorders>
                    <w:top w:val="single" w:color="auto" w:sz="4" w:space="0"/>
                    <w:left w:val="single" w:color="auto" w:sz="6" w:space="0"/>
                    <w:bottom w:val="single" w:color="auto" w:sz="4" w:space="0"/>
                    <w:right w:val="nil"/>
                  </w:tcBorders>
                  <w:noWrap w:val="0"/>
                  <w:vAlign w:val="center"/>
                </w:tcPr>
                <w:p>
                  <w:pPr>
                    <w:pStyle w:val="48"/>
                    <w:adjustRightInd w:val="0"/>
                    <w:snapToGrid w:val="0"/>
                    <w:rPr>
                      <w:rFonts w:hint="eastAsia" w:eastAsia="宋体"/>
                    </w:rPr>
                  </w:pPr>
                  <w:r>
                    <w:rPr>
                      <w:rFonts w:hint="eastAsia" w:eastAsia="宋体"/>
                    </w:rPr>
                    <w:t>位于租赁区域中部及</w:t>
                  </w:r>
                  <w:r>
                    <w:rPr>
                      <w:rFonts w:hint="eastAsia" w:eastAsia="宋体"/>
                      <w:lang w:val="en-US" w:eastAsia="zh-CN"/>
                    </w:rPr>
                    <w:t>南</w:t>
                  </w:r>
                  <w:r>
                    <w:rPr>
                      <w:rFonts w:hint="eastAsia" w:eastAsia="宋体"/>
                    </w:rPr>
                    <w:t>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489" w:hRule="atLeast"/>
                <w:jc w:val="center"/>
              </w:trPr>
              <w:tc>
                <w:tcPr>
                  <w:tcW w:w="402" w:type="pct"/>
                  <w:tcBorders>
                    <w:top w:val="single" w:color="auto" w:sz="4" w:space="0"/>
                    <w:left w:val="nil"/>
                    <w:right w:val="single" w:color="auto" w:sz="6" w:space="0"/>
                  </w:tcBorders>
                  <w:noWrap w:val="0"/>
                  <w:vAlign w:val="center"/>
                </w:tcPr>
                <w:p>
                  <w:pPr>
                    <w:pStyle w:val="48"/>
                    <w:adjustRightInd w:val="0"/>
                    <w:snapToGrid w:val="0"/>
                    <w:rPr>
                      <w:rFonts w:eastAsia="宋体"/>
                    </w:rPr>
                  </w:pPr>
                  <w:r>
                    <w:rPr>
                      <w:rFonts w:hint="eastAsia" w:eastAsia="宋体"/>
                    </w:rPr>
                    <w:t>辅助工程</w:t>
                  </w:r>
                </w:p>
              </w:tc>
              <w:tc>
                <w:tcPr>
                  <w:tcW w:w="846" w:type="pct"/>
                  <w:gridSpan w:val="2"/>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hint="eastAsia" w:eastAsia="宋体"/>
                    </w:rPr>
                  </w:pPr>
                  <w:r>
                    <w:rPr>
                      <w:rFonts w:hint="eastAsia" w:eastAsia="宋体"/>
                    </w:rPr>
                    <w:t>办公区</w:t>
                  </w:r>
                </w:p>
              </w:tc>
              <w:tc>
                <w:tcPr>
                  <w:tcW w:w="1525" w:type="pct"/>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hint="eastAsia" w:eastAsia="宋体"/>
                    </w:rPr>
                  </w:pPr>
                  <w:r>
                    <w:rPr>
                      <w:rFonts w:hint="eastAsia" w:eastAsia="宋体"/>
                    </w:rPr>
                    <w:t>用于行政、办公、会议等</w:t>
                  </w:r>
                </w:p>
              </w:tc>
              <w:tc>
                <w:tcPr>
                  <w:tcW w:w="1135" w:type="pct"/>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eastAsia="宋体"/>
                    </w:rPr>
                  </w:pPr>
                  <w:r>
                    <w:rPr>
                      <w:rFonts w:hint="eastAsia" w:eastAsia="宋体"/>
                    </w:rPr>
                    <w:t>建筑面积</w:t>
                  </w:r>
                  <w:r>
                    <w:rPr>
                      <w:rFonts w:hint="eastAsia" w:eastAsia="宋体"/>
                      <w:lang w:val="en-US" w:eastAsia="zh-CN"/>
                    </w:rPr>
                    <w:t>300</w:t>
                  </w:r>
                  <w:r>
                    <w:rPr>
                      <w:rFonts w:hint="eastAsia" w:eastAsia="宋体"/>
                    </w:rPr>
                    <w:t>m</w:t>
                  </w:r>
                  <w:r>
                    <w:rPr>
                      <w:rFonts w:hint="eastAsia" w:eastAsia="宋体"/>
                      <w:vertAlign w:val="superscript"/>
                    </w:rPr>
                    <w:t>2</w:t>
                  </w:r>
                </w:p>
              </w:tc>
              <w:tc>
                <w:tcPr>
                  <w:tcW w:w="1091" w:type="pct"/>
                  <w:tcBorders>
                    <w:top w:val="single" w:color="auto" w:sz="4" w:space="0"/>
                    <w:left w:val="single" w:color="auto" w:sz="6" w:space="0"/>
                    <w:bottom w:val="single" w:color="auto" w:sz="4" w:space="0"/>
                    <w:right w:val="nil"/>
                  </w:tcBorders>
                  <w:noWrap w:val="0"/>
                  <w:vAlign w:val="center"/>
                </w:tcPr>
                <w:p>
                  <w:pPr>
                    <w:pStyle w:val="48"/>
                    <w:adjustRightInd w:val="0"/>
                    <w:snapToGrid w:val="0"/>
                    <w:rPr>
                      <w:rFonts w:hint="default" w:eastAsia="宋体"/>
                      <w:lang w:val="en-US" w:eastAsia="zh-CN"/>
                    </w:rPr>
                  </w:pPr>
                  <w:r>
                    <w:rPr>
                      <w:rFonts w:hint="eastAsia" w:eastAsia="宋体"/>
                    </w:rPr>
                    <w:t>位于</w:t>
                  </w:r>
                  <w:r>
                    <w:rPr>
                      <w:rFonts w:hint="eastAsia" w:eastAsia="宋体"/>
                      <w:lang w:val="en-US" w:eastAsia="zh-CN"/>
                    </w:rPr>
                    <w:t>生产车间四北部东侧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340" w:hRule="atLeast"/>
                <w:jc w:val="center"/>
              </w:trPr>
              <w:tc>
                <w:tcPr>
                  <w:tcW w:w="402" w:type="pct"/>
                  <w:vMerge w:val="restart"/>
                  <w:tcBorders>
                    <w:top w:val="single" w:color="auto" w:sz="4" w:space="0"/>
                    <w:left w:val="nil"/>
                    <w:bottom w:val="single" w:color="auto" w:sz="4" w:space="0"/>
                    <w:right w:val="single" w:color="auto" w:sz="6" w:space="0"/>
                  </w:tcBorders>
                  <w:noWrap w:val="0"/>
                  <w:vAlign w:val="center"/>
                </w:tcPr>
                <w:p>
                  <w:pPr>
                    <w:pStyle w:val="48"/>
                    <w:adjustRightInd w:val="0"/>
                    <w:snapToGrid w:val="0"/>
                    <w:rPr>
                      <w:rFonts w:eastAsia="宋体"/>
                    </w:rPr>
                  </w:pPr>
                  <w:r>
                    <w:rPr>
                      <w:rFonts w:hint="eastAsia" w:eastAsia="宋体"/>
                    </w:rPr>
                    <w:t>储运工程</w:t>
                  </w:r>
                </w:p>
              </w:tc>
              <w:tc>
                <w:tcPr>
                  <w:tcW w:w="846" w:type="pct"/>
                  <w:gridSpan w:val="2"/>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hint="eastAsia" w:eastAsia="宋体"/>
                    </w:rPr>
                  </w:pPr>
                  <w:r>
                    <w:rPr>
                      <w:rFonts w:hint="eastAsia" w:eastAsia="宋体"/>
                    </w:rPr>
                    <w:t>成品储存区</w:t>
                  </w:r>
                </w:p>
              </w:tc>
              <w:tc>
                <w:tcPr>
                  <w:tcW w:w="1525" w:type="pct"/>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hint="eastAsia" w:eastAsia="宋体"/>
                      <w:lang w:eastAsia="zh-CN"/>
                    </w:rPr>
                  </w:pPr>
                  <w:r>
                    <w:rPr>
                      <w:rFonts w:hint="eastAsia" w:eastAsia="宋体"/>
                    </w:rPr>
                    <w:t>用于成品储存</w:t>
                  </w:r>
                </w:p>
              </w:tc>
              <w:tc>
                <w:tcPr>
                  <w:tcW w:w="1135" w:type="pct"/>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hint="eastAsia" w:eastAsia="宋体"/>
                    </w:rPr>
                  </w:pPr>
                  <w:r>
                    <w:rPr>
                      <w:rFonts w:hint="eastAsia" w:eastAsia="宋体"/>
                    </w:rPr>
                    <w:t>建筑面积2</w:t>
                  </w:r>
                  <w:r>
                    <w:rPr>
                      <w:rFonts w:hint="eastAsia" w:eastAsia="宋体"/>
                      <w:lang w:val="en-US" w:eastAsia="zh-CN"/>
                    </w:rPr>
                    <w:t>0</w:t>
                  </w:r>
                  <w:r>
                    <w:rPr>
                      <w:rFonts w:hint="eastAsia" w:eastAsia="宋体"/>
                    </w:rPr>
                    <w:t>m</w:t>
                  </w:r>
                  <w:r>
                    <w:rPr>
                      <w:rFonts w:hint="eastAsia" w:eastAsia="宋体"/>
                      <w:vertAlign w:val="superscript"/>
                    </w:rPr>
                    <w:t>2</w:t>
                  </w:r>
                </w:p>
              </w:tc>
              <w:tc>
                <w:tcPr>
                  <w:tcW w:w="1091" w:type="pct"/>
                  <w:tcBorders>
                    <w:top w:val="single" w:color="auto" w:sz="4" w:space="0"/>
                    <w:left w:val="single" w:color="auto" w:sz="6" w:space="0"/>
                    <w:bottom w:val="single" w:color="auto" w:sz="4" w:space="0"/>
                    <w:right w:val="nil"/>
                  </w:tcBorders>
                  <w:noWrap w:val="0"/>
                  <w:vAlign w:val="center"/>
                </w:tcPr>
                <w:p>
                  <w:pPr>
                    <w:pStyle w:val="48"/>
                    <w:adjustRightInd w:val="0"/>
                    <w:snapToGrid w:val="0"/>
                    <w:rPr>
                      <w:rFonts w:hint="default" w:eastAsia="宋体"/>
                      <w:lang w:val="en-US" w:eastAsia="zh-CN"/>
                    </w:rPr>
                  </w:pPr>
                  <w:r>
                    <w:rPr>
                      <w:rFonts w:hint="eastAsia" w:eastAsia="宋体"/>
                    </w:rPr>
                    <w:t>位于</w:t>
                  </w:r>
                  <w:r>
                    <w:rPr>
                      <w:rFonts w:hint="eastAsia" w:eastAsia="宋体"/>
                      <w:lang w:val="en-US" w:eastAsia="zh-CN"/>
                    </w:rPr>
                    <w:t>生产车间一北侧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340" w:hRule="atLeast"/>
                <w:jc w:val="center"/>
              </w:trPr>
              <w:tc>
                <w:tcPr>
                  <w:tcW w:w="402" w:type="pct"/>
                  <w:vMerge w:val="continue"/>
                  <w:tcBorders>
                    <w:top w:val="single" w:color="auto" w:sz="4" w:space="0"/>
                    <w:left w:val="nil"/>
                    <w:bottom w:val="single" w:color="auto" w:sz="4" w:space="0"/>
                    <w:right w:val="single" w:color="auto" w:sz="6" w:space="0"/>
                  </w:tcBorders>
                  <w:noWrap w:val="0"/>
                  <w:vAlign w:val="center"/>
                </w:tcPr>
                <w:p>
                  <w:pPr>
                    <w:pStyle w:val="48"/>
                    <w:adjustRightInd w:val="0"/>
                    <w:snapToGrid w:val="0"/>
                    <w:rPr>
                      <w:rFonts w:eastAsia="宋体"/>
                    </w:rPr>
                  </w:pPr>
                </w:p>
              </w:tc>
              <w:tc>
                <w:tcPr>
                  <w:tcW w:w="846" w:type="pct"/>
                  <w:gridSpan w:val="2"/>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hint="eastAsia" w:eastAsia="宋体"/>
                    </w:rPr>
                  </w:pPr>
                  <w:r>
                    <w:rPr>
                      <w:rFonts w:hint="eastAsia" w:eastAsia="宋体"/>
                    </w:rPr>
                    <w:t>原料储存区</w:t>
                  </w:r>
                </w:p>
              </w:tc>
              <w:tc>
                <w:tcPr>
                  <w:tcW w:w="1525" w:type="pct"/>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eastAsia="宋体"/>
                    </w:rPr>
                  </w:pPr>
                  <w:r>
                    <w:rPr>
                      <w:rFonts w:hint="eastAsia" w:eastAsia="宋体"/>
                    </w:rPr>
                    <w:t>用于原材料储存</w:t>
                  </w:r>
                </w:p>
              </w:tc>
              <w:tc>
                <w:tcPr>
                  <w:tcW w:w="1135" w:type="pct"/>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hint="eastAsia" w:eastAsia="宋体"/>
                    </w:rPr>
                  </w:pPr>
                  <w:r>
                    <w:rPr>
                      <w:rFonts w:hint="eastAsia" w:eastAsia="宋体"/>
                    </w:rPr>
                    <w:t>建筑面积</w:t>
                  </w:r>
                  <w:r>
                    <w:rPr>
                      <w:rFonts w:hint="eastAsia" w:eastAsia="宋体"/>
                      <w:lang w:val="en-US" w:eastAsia="zh-CN"/>
                    </w:rPr>
                    <w:t>86.8</w:t>
                  </w:r>
                  <w:r>
                    <w:rPr>
                      <w:rFonts w:hint="eastAsia" w:eastAsia="宋体"/>
                    </w:rPr>
                    <w:t>m</w:t>
                  </w:r>
                  <w:r>
                    <w:rPr>
                      <w:rFonts w:hint="eastAsia" w:eastAsia="宋体"/>
                      <w:vertAlign w:val="superscript"/>
                    </w:rPr>
                    <w:t>2</w:t>
                  </w:r>
                </w:p>
              </w:tc>
              <w:tc>
                <w:tcPr>
                  <w:tcW w:w="1091" w:type="pct"/>
                  <w:tcBorders>
                    <w:top w:val="single" w:color="auto" w:sz="4" w:space="0"/>
                    <w:left w:val="single" w:color="auto" w:sz="6" w:space="0"/>
                    <w:bottom w:val="single" w:color="auto" w:sz="4" w:space="0"/>
                    <w:right w:val="nil"/>
                  </w:tcBorders>
                  <w:noWrap w:val="0"/>
                  <w:vAlign w:val="center"/>
                </w:tcPr>
                <w:p>
                  <w:pPr>
                    <w:pStyle w:val="48"/>
                    <w:adjustRightInd w:val="0"/>
                    <w:snapToGrid w:val="0"/>
                    <w:rPr>
                      <w:rFonts w:hint="eastAsia" w:eastAsia="宋体"/>
                    </w:rPr>
                  </w:pPr>
                  <w:r>
                    <w:rPr>
                      <w:rFonts w:hint="eastAsia" w:eastAsia="宋体"/>
                    </w:rPr>
                    <w:t>位于成品储存区</w:t>
                  </w:r>
                  <w:r>
                    <w:rPr>
                      <w:rFonts w:hint="eastAsia" w:eastAsia="宋体"/>
                      <w:lang w:val="en-US" w:eastAsia="zh-CN"/>
                    </w:rPr>
                    <w:t>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340" w:hRule="atLeast"/>
                <w:jc w:val="center"/>
              </w:trPr>
              <w:tc>
                <w:tcPr>
                  <w:tcW w:w="402" w:type="pct"/>
                  <w:vMerge w:val="restart"/>
                  <w:tcBorders>
                    <w:top w:val="single" w:color="auto" w:sz="4" w:space="0"/>
                    <w:left w:val="nil"/>
                    <w:bottom w:val="single" w:color="auto" w:sz="4" w:space="0"/>
                    <w:right w:val="single" w:color="auto" w:sz="6" w:space="0"/>
                  </w:tcBorders>
                  <w:noWrap w:val="0"/>
                  <w:vAlign w:val="center"/>
                </w:tcPr>
                <w:p>
                  <w:pPr>
                    <w:pStyle w:val="48"/>
                    <w:adjustRightInd w:val="0"/>
                    <w:snapToGrid w:val="0"/>
                    <w:rPr>
                      <w:rFonts w:eastAsia="宋体"/>
                    </w:rPr>
                  </w:pPr>
                  <w:r>
                    <w:rPr>
                      <w:rFonts w:hint="eastAsia" w:eastAsia="宋体"/>
                    </w:rPr>
                    <w:t>公用工程</w:t>
                  </w:r>
                </w:p>
              </w:tc>
              <w:tc>
                <w:tcPr>
                  <w:tcW w:w="846" w:type="pct"/>
                  <w:gridSpan w:val="2"/>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eastAsia="宋体"/>
                    </w:rPr>
                  </w:pPr>
                  <w:r>
                    <w:rPr>
                      <w:rFonts w:hint="eastAsia" w:eastAsia="宋体"/>
                    </w:rPr>
                    <w:t>给水</w:t>
                  </w:r>
                </w:p>
              </w:tc>
              <w:tc>
                <w:tcPr>
                  <w:tcW w:w="1525" w:type="pct"/>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eastAsia="宋体"/>
                    </w:rPr>
                  </w:pPr>
                  <w:r>
                    <w:rPr>
                      <w:rFonts w:hint="eastAsia" w:eastAsia="宋体"/>
                    </w:rPr>
                    <w:t>市政给水管网</w:t>
                  </w:r>
                </w:p>
              </w:tc>
              <w:tc>
                <w:tcPr>
                  <w:tcW w:w="1135" w:type="pct"/>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hint="eastAsia" w:eastAsia="宋体"/>
                    </w:rPr>
                  </w:pPr>
                  <w:r>
                    <w:rPr>
                      <w:rFonts w:hint="eastAsia" w:eastAsia="宋体"/>
                      <w:lang w:val="en-US" w:eastAsia="zh-CN"/>
                    </w:rPr>
                    <w:t>475</w:t>
                  </w:r>
                  <w:r>
                    <w:rPr>
                      <w:rFonts w:hint="eastAsia" w:eastAsia="宋体"/>
                    </w:rPr>
                    <w:t>t/a</w:t>
                  </w:r>
                </w:p>
              </w:tc>
              <w:tc>
                <w:tcPr>
                  <w:tcW w:w="1091" w:type="pct"/>
                  <w:tcBorders>
                    <w:top w:val="single" w:color="auto" w:sz="4" w:space="0"/>
                    <w:left w:val="single" w:color="auto" w:sz="6" w:space="0"/>
                    <w:bottom w:val="single" w:color="auto" w:sz="4" w:space="0"/>
                    <w:right w:val="nil"/>
                  </w:tcBorders>
                  <w:noWrap w:val="0"/>
                  <w:vAlign w:val="center"/>
                </w:tcPr>
                <w:p>
                  <w:pPr>
                    <w:pStyle w:val="48"/>
                    <w:adjustRightInd w:val="0"/>
                    <w:snapToGrid w:val="0"/>
                    <w:rPr>
                      <w:rFonts w:hint="eastAsia" w:eastAsia="宋体"/>
                    </w:rPr>
                  </w:pPr>
                  <w:r>
                    <w:rPr>
                      <w:rFonts w:hint="eastAsia" w:eastAsia="宋体"/>
                    </w:rPr>
                    <w:t>依托租赁方已建管网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340" w:hRule="atLeast"/>
                <w:jc w:val="center"/>
              </w:trPr>
              <w:tc>
                <w:tcPr>
                  <w:tcW w:w="402" w:type="pct"/>
                  <w:vMerge w:val="continue"/>
                  <w:tcBorders>
                    <w:top w:val="single" w:color="auto" w:sz="4" w:space="0"/>
                    <w:left w:val="nil"/>
                    <w:bottom w:val="single" w:color="auto" w:sz="4" w:space="0"/>
                    <w:right w:val="single" w:color="auto" w:sz="6" w:space="0"/>
                  </w:tcBorders>
                  <w:noWrap w:val="0"/>
                  <w:vAlign w:val="center"/>
                </w:tcPr>
                <w:p>
                  <w:pPr>
                    <w:pStyle w:val="48"/>
                    <w:adjustRightInd w:val="0"/>
                    <w:snapToGrid w:val="0"/>
                    <w:rPr>
                      <w:rFonts w:eastAsia="宋体"/>
                    </w:rPr>
                  </w:pPr>
                </w:p>
              </w:tc>
              <w:tc>
                <w:tcPr>
                  <w:tcW w:w="846" w:type="pct"/>
                  <w:gridSpan w:val="2"/>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eastAsia="宋体"/>
                    </w:rPr>
                  </w:pPr>
                  <w:r>
                    <w:rPr>
                      <w:rFonts w:hint="eastAsia" w:eastAsia="宋体"/>
                    </w:rPr>
                    <w:t>排水</w:t>
                  </w:r>
                </w:p>
              </w:tc>
              <w:tc>
                <w:tcPr>
                  <w:tcW w:w="1525" w:type="pct"/>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eastAsia="宋体"/>
                    </w:rPr>
                  </w:pPr>
                  <w:r>
                    <w:rPr>
                      <w:rFonts w:hint="eastAsia" w:eastAsia="宋体"/>
                    </w:rPr>
                    <w:t>接管至金坛区第二污水处理厂</w:t>
                  </w:r>
                </w:p>
              </w:tc>
              <w:tc>
                <w:tcPr>
                  <w:tcW w:w="1135" w:type="pct"/>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hint="eastAsia" w:eastAsia="宋体"/>
                    </w:rPr>
                  </w:pPr>
                  <w:r>
                    <w:rPr>
                      <w:rFonts w:hint="eastAsia" w:eastAsia="宋体"/>
                      <w:highlight w:val="none"/>
                      <w:lang w:val="en-US" w:eastAsia="zh-CN"/>
                    </w:rPr>
                    <w:t>381.9</w:t>
                  </w:r>
                  <w:r>
                    <w:rPr>
                      <w:rFonts w:hint="eastAsia" w:eastAsia="宋体"/>
                      <w:highlight w:val="none"/>
                    </w:rPr>
                    <w:t>t/a</w:t>
                  </w:r>
                </w:p>
              </w:tc>
              <w:tc>
                <w:tcPr>
                  <w:tcW w:w="1091" w:type="pct"/>
                  <w:tcBorders>
                    <w:top w:val="single" w:color="auto" w:sz="4" w:space="0"/>
                    <w:left w:val="single" w:color="auto" w:sz="6" w:space="0"/>
                    <w:bottom w:val="single" w:color="auto" w:sz="4" w:space="0"/>
                    <w:right w:val="nil"/>
                  </w:tcBorders>
                  <w:noWrap w:val="0"/>
                  <w:vAlign w:val="center"/>
                </w:tcPr>
                <w:p>
                  <w:pPr>
                    <w:pStyle w:val="48"/>
                    <w:adjustRightInd w:val="0"/>
                    <w:snapToGrid w:val="0"/>
                    <w:rPr>
                      <w:rFonts w:hint="eastAsia" w:eastAsia="宋体"/>
                    </w:rPr>
                  </w:pPr>
                  <w:r>
                    <w:rPr>
                      <w:rFonts w:hint="eastAsia" w:eastAsia="宋体"/>
                    </w:rPr>
                    <w:t>依托租赁方已建管网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340" w:hRule="atLeast"/>
                <w:jc w:val="center"/>
              </w:trPr>
              <w:tc>
                <w:tcPr>
                  <w:tcW w:w="402" w:type="pct"/>
                  <w:vMerge w:val="continue"/>
                  <w:tcBorders>
                    <w:top w:val="single" w:color="auto" w:sz="4" w:space="0"/>
                    <w:left w:val="nil"/>
                    <w:bottom w:val="single" w:color="auto" w:sz="4" w:space="0"/>
                    <w:right w:val="single" w:color="auto" w:sz="6" w:space="0"/>
                  </w:tcBorders>
                  <w:noWrap w:val="0"/>
                  <w:vAlign w:val="center"/>
                </w:tcPr>
                <w:p>
                  <w:pPr>
                    <w:pStyle w:val="48"/>
                    <w:adjustRightInd w:val="0"/>
                    <w:snapToGrid w:val="0"/>
                    <w:rPr>
                      <w:rFonts w:eastAsia="宋体"/>
                    </w:rPr>
                  </w:pPr>
                </w:p>
              </w:tc>
              <w:tc>
                <w:tcPr>
                  <w:tcW w:w="846" w:type="pct"/>
                  <w:gridSpan w:val="2"/>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eastAsia="宋体"/>
                    </w:rPr>
                  </w:pPr>
                  <w:r>
                    <w:rPr>
                      <w:rFonts w:hint="eastAsia" w:eastAsia="宋体"/>
                    </w:rPr>
                    <w:t>供电</w:t>
                  </w:r>
                </w:p>
              </w:tc>
              <w:tc>
                <w:tcPr>
                  <w:tcW w:w="1525" w:type="pct"/>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hint="eastAsia" w:eastAsia="宋体"/>
                      <w:lang w:eastAsia="zh-CN"/>
                    </w:rPr>
                  </w:pPr>
                  <w:r>
                    <w:rPr>
                      <w:rFonts w:hint="eastAsia" w:eastAsia="宋体"/>
                      <w:lang w:val="en-US" w:eastAsia="zh-CN"/>
                    </w:rPr>
                    <w:t>配电房</w:t>
                  </w:r>
                </w:p>
              </w:tc>
              <w:tc>
                <w:tcPr>
                  <w:tcW w:w="1135" w:type="pct"/>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hint="eastAsia" w:eastAsia="宋体"/>
                    </w:rPr>
                  </w:pPr>
                  <w:r>
                    <w:rPr>
                      <w:rFonts w:hint="eastAsia" w:eastAsia="宋体"/>
                      <w:lang w:val="en-US" w:eastAsia="zh-CN"/>
                    </w:rPr>
                    <w:t>1</w:t>
                  </w:r>
                  <w:r>
                    <w:rPr>
                      <w:rFonts w:hint="eastAsia" w:ascii="Times New Roman" w:hAnsi="Times New Roman" w:eastAsia="宋体" w:cs="Times New Roman"/>
                      <w:lang w:val="en-US" w:eastAsia="zh-CN"/>
                    </w:rPr>
                    <w:t>20万kWh/a</w:t>
                  </w:r>
                </w:p>
              </w:tc>
              <w:tc>
                <w:tcPr>
                  <w:tcW w:w="1091" w:type="pct"/>
                  <w:tcBorders>
                    <w:top w:val="single" w:color="auto" w:sz="4" w:space="0"/>
                    <w:left w:val="single" w:color="auto" w:sz="6" w:space="0"/>
                    <w:bottom w:val="single" w:color="auto" w:sz="4" w:space="0"/>
                    <w:right w:val="nil"/>
                  </w:tcBorders>
                  <w:noWrap w:val="0"/>
                  <w:vAlign w:val="center"/>
                </w:tcPr>
                <w:p>
                  <w:pPr>
                    <w:pStyle w:val="48"/>
                    <w:adjustRightInd w:val="0"/>
                    <w:snapToGrid w:val="0"/>
                    <w:rPr>
                      <w:rFonts w:hint="default" w:eastAsia="宋体"/>
                      <w:lang w:val="en-US" w:eastAsia="zh-CN"/>
                    </w:rPr>
                  </w:pPr>
                  <w:r>
                    <w:rPr>
                      <w:rFonts w:hint="eastAsia" w:eastAsia="宋体"/>
                    </w:rPr>
                    <w:t>位于</w:t>
                  </w:r>
                  <w:r>
                    <w:rPr>
                      <w:rFonts w:hint="eastAsia" w:eastAsia="宋体"/>
                      <w:lang w:val="en-US" w:eastAsia="zh-CN"/>
                    </w:rPr>
                    <w:t>一般固废仓库西侧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427" w:hRule="atLeast"/>
                <w:jc w:val="center"/>
              </w:trPr>
              <w:tc>
                <w:tcPr>
                  <w:tcW w:w="402" w:type="pct"/>
                  <w:vMerge w:val="continue"/>
                  <w:tcBorders>
                    <w:top w:val="single" w:color="auto" w:sz="4" w:space="0"/>
                    <w:left w:val="nil"/>
                    <w:bottom w:val="single" w:color="auto" w:sz="4" w:space="0"/>
                    <w:right w:val="single" w:color="auto" w:sz="6" w:space="0"/>
                  </w:tcBorders>
                  <w:noWrap w:val="0"/>
                  <w:vAlign w:val="center"/>
                </w:tcPr>
                <w:p>
                  <w:pPr>
                    <w:pStyle w:val="48"/>
                    <w:adjustRightInd w:val="0"/>
                    <w:snapToGrid w:val="0"/>
                    <w:rPr>
                      <w:rFonts w:eastAsia="宋体"/>
                    </w:rPr>
                  </w:pPr>
                </w:p>
              </w:tc>
              <w:tc>
                <w:tcPr>
                  <w:tcW w:w="340" w:type="pct"/>
                  <w:vMerge w:val="restart"/>
                  <w:tcBorders>
                    <w:top w:val="single" w:color="auto" w:sz="4" w:space="0"/>
                    <w:left w:val="single" w:color="auto" w:sz="6" w:space="0"/>
                    <w:right w:val="single" w:color="auto" w:sz="6" w:space="0"/>
                  </w:tcBorders>
                  <w:noWrap w:val="0"/>
                  <w:vAlign w:val="center"/>
                </w:tcPr>
                <w:p>
                  <w:pPr>
                    <w:pStyle w:val="48"/>
                    <w:adjustRightInd w:val="0"/>
                    <w:snapToGrid w:val="0"/>
                    <w:rPr>
                      <w:rFonts w:eastAsia="宋体"/>
                    </w:rPr>
                  </w:pPr>
                  <w:r>
                    <w:rPr>
                      <w:rFonts w:hint="eastAsia" w:eastAsia="宋体"/>
                    </w:rPr>
                    <w:t>固废</w:t>
                  </w:r>
                </w:p>
              </w:tc>
              <w:tc>
                <w:tcPr>
                  <w:tcW w:w="506" w:type="pct"/>
                  <w:tcBorders>
                    <w:top w:val="single" w:color="auto" w:sz="4" w:space="0"/>
                    <w:left w:val="single" w:color="auto" w:sz="6" w:space="0"/>
                    <w:right w:val="single" w:color="auto" w:sz="6" w:space="0"/>
                  </w:tcBorders>
                  <w:noWrap w:val="0"/>
                  <w:vAlign w:val="center"/>
                </w:tcPr>
                <w:p>
                  <w:pPr>
                    <w:pStyle w:val="48"/>
                    <w:adjustRightInd w:val="0"/>
                    <w:snapToGrid w:val="0"/>
                    <w:rPr>
                      <w:rFonts w:hint="eastAsia" w:eastAsia="宋体"/>
                      <w:lang w:val="en-US" w:eastAsia="zh-CN"/>
                    </w:rPr>
                  </w:pPr>
                  <w:r>
                    <w:rPr>
                      <w:rFonts w:hint="eastAsia" w:eastAsia="宋体"/>
                      <w:lang w:val="en-US" w:eastAsia="zh-CN"/>
                    </w:rPr>
                    <w:t>一般</w:t>
                  </w:r>
                </w:p>
                <w:p>
                  <w:pPr>
                    <w:pStyle w:val="48"/>
                    <w:adjustRightInd w:val="0"/>
                    <w:snapToGrid w:val="0"/>
                    <w:rPr>
                      <w:rFonts w:hint="eastAsia" w:eastAsia="宋体"/>
                      <w:lang w:val="en-US" w:eastAsia="zh-CN"/>
                    </w:rPr>
                  </w:pPr>
                  <w:r>
                    <w:rPr>
                      <w:rFonts w:hint="eastAsia" w:eastAsia="宋体"/>
                      <w:lang w:val="en-US" w:eastAsia="zh-CN"/>
                    </w:rPr>
                    <w:t>固废</w:t>
                  </w:r>
                </w:p>
              </w:tc>
              <w:tc>
                <w:tcPr>
                  <w:tcW w:w="1525" w:type="pct"/>
                  <w:tcBorders>
                    <w:top w:val="single" w:color="auto" w:sz="4" w:space="0"/>
                    <w:left w:val="single" w:color="auto" w:sz="6" w:space="0"/>
                    <w:right w:val="single" w:color="auto" w:sz="6" w:space="0"/>
                  </w:tcBorders>
                  <w:noWrap w:val="0"/>
                  <w:vAlign w:val="center"/>
                </w:tcPr>
                <w:p>
                  <w:pPr>
                    <w:pStyle w:val="48"/>
                    <w:adjustRightInd w:val="0"/>
                    <w:snapToGrid w:val="0"/>
                    <w:rPr>
                      <w:rFonts w:eastAsia="宋体"/>
                    </w:rPr>
                  </w:pPr>
                  <w:r>
                    <w:rPr>
                      <w:rFonts w:hint="eastAsia" w:eastAsia="宋体"/>
                    </w:rPr>
                    <w:t>一般固废仓库</w:t>
                  </w:r>
                  <w:r>
                    <w:rPr>
                      <w:rFonts w:hint="eastAsia" w:eastAsia="宋体"/>
                      <w:lang w:val="en-US" w:eastAsia="zh-CN"/>
                    </w:rPr>
                    <w:t>40</w:t>
                  </w:r>
                  <w:r>
                    <w:rPr>
                      <w:rFonts w:hint="eastAsia" w:eastAsia="宋体"/>
                    </w:rPr>
                    <w:t>m</w:t>
                  </w:r>
                  <w:r>
                    <w:rPr>
                      <w:rFonts w:hint="eastAsia" w:eastAsia="宋体"/>
                      <w:vertAlign w:val="superscript"/>
                    </w:rPr>
                    <w:t>2</w:t>
                  </w:r>
                </w:p>
              </w:tc>
              <w:tc>
                <w:tcPr>
                  <w:tcW w:w="1135" w:type="pct"/>
                  <w:vMerge w:val="restart"/>
                  <w:tcBorders>
                    <w:top w:val="single" w:color="auto" w:sz="4" w:space="0"/>
                    <w:left w:val="single" w:color="auto" w:sz="6" w:space="0"/>
                    <w:right w:val="single" w:color="auto" w:sz="6" w:space="0"/>
                  </w:tcBorders>
                  <w:noWrap w:val="0"/>
                  <w:vAlign w:val="center"/>
                </w:tcPr>
                <w:p>
                  <w:pPr>
                    <w:pStyle w:val="48"/>
                    <w:adjustRightInd w:val="0"/>
                    <w:snapToGrid w:val="0"/>
                    <w:rPr>
                      <w:rFonts w:hint="eastAsia" w:eastAsia="宋体"/>
                    </w:rPr>
                  </w:pPr>
                  <w:r>
                    <w:rPr>
                      <w:rFonts w:hint="eastAsia" w:eastAsia="宋体"/>
                    </w:rPr>
                    <w:t>固废分类收集、分类贮存、分类处理</w:t>
                  </w:r>
                </w:p>
              </w:tc>
              <w:tc>
                <w:tcPr>
                  <w:tcW w:w="1091" w:type="pct"/>
                  <w:tcBorders>
                    <w:top w:val="single" w:color="auto" w:sz="4" w:space="0"/>
                    <w:left w:val="single" w:color="auto" w:sz="6" w:space="0"/>
                    <w:right w:val="nil"/>
                  </w:tcBorders>
                  <w:noWrap w:val="0"/>
                  <w:vAlign w:val="center"/>
                </w:tcPr>
                <w:p>
                  <w:pPr>
                    <w:pStyle w:val="48"/>
                    <w:adjustRightInd w:val="0"/>
                    <w:snapToGrid w:val="0"/>
                    <w:rPr>
                      <w:rFonts w:hint="eastAsia" w:eastAsia="宋体"/>
                    </w:rPr>
                  </w:pPr>
                  <w:r>
                    <w:rPr>
                      <w:rFonts w:hint="eastAsia" w:eastAsia="宋体"/>
                    </w:rPr>
                    <w:t>位于</w:t>
                  </w:r>
                  <w:r>
                    <w:rPr>
                      <w:rFonts w:hint="eastAsia" w:eastAsia="宋体"/>
                      <w:lang w:val="en-US" w:eastAsia="zh-CN"/>
                    </w:rPr>
                    <w:t>办公区西</w:t>
                  </w:r>
                  <w:r>
                    <w:rPr>
                      <w:rFonts w:hint="eastAsia" w:eastAsia="宋体"/>
                    </w:rPr>
                    <w:t>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427" w:hRule="atLeast"/>
                <w:jc w:val="center"/>
              </w:trPr>
              <w:tc>
                <w:tcPr>
                  <w:tcW w:w="402" w:type="pct"/>
                  <w:vMerge w:val="continue"/>
                  <w:tcBorders>
                    <w:left w:val="nil"/>
                    <w:bottom w:val="single" w:color="auto" w:sz="4" w:space="0"/>
                    <w:right w:val="single" w:color="auto" w:sz="6" w:space="0"/>
                  </w:tcBorders>
                  <w:noWrap w:val="0"/>
                  <w:vAlign w:val="center"/>
                </w:tcPr>
                <w:p>
                  <w:pPr>
                    <w:pStyle w:val="48"/>
                    <w:adjustRightInd w:val="0"/>
                    <w:snapToGrid w:val="0"/>
                  </w:pPr>
                </w:p>
              </w:tc>
              <w:tc>
                <w:tcPr>
                  <w:tcW w:w="340" w:type="pct"/>
                  <w:vMerge w:val="continue"/>
                  <w:tcBorders>
                    <w:left w:val="single" w:color="auto" w:sz="6" w:space="0"/>
                    <w:bottom w:val="single" w:color="auto" w:sz="4" w:space="0"/>
                    <w:right w:val="single" w:color="auto" w:sz="6" w:space="0"/>
                  </w:tcBorders>
                  <w:noWrap w:val="0"/>
                  <w:vAlign w:val="center"/>
                </w:tcPr>
                <w:p>
                  <w:pPr>
                    <w:pStyle w:val="48"/>
                    <w:adjustRightInd w:val="0"/>
                    <w:snapToGrid w:val="0"/>
                  </w:pPr>
                </w:p>
              </w:tc>
              <w:tc>
                <w:tcPr>
                  <w:tcW w:w="506" w:type="pct"/>
                  <w:tcBorders>
                    <w:top w:val="single" w:color="auto" w:sz="4" w:space="0"/>
                    <w:left w:val="single" w:color="auto" w:sz="6" w:space="0"/>
                    <w:right w:val="single" w:color="auto" w:sz="6" w:space="0"/>
                  </w:tcBorders>
                  <w:noWrap w:val="0"/>
                  <w:vAlign w:val="center"/>
                </w:tcPr>
                <w:p>
                  <w:pPr>
                    <w:pStyle w:val="48"/>
                    <w:adjustRightInd w:val="0"/>
                    <w:snapToGrid w:val="0"/>
                    <w:rPr>
                      <w:rFonts w:hint="eastAsia" w:eastAsia="宋体"/>
                      <w:lang w:val="en-US" w:eastAsia="zh-CN"/>
                    </w:rPr>
                  </w:pPr>
                  <w:r>
                    <w:rPr>
                      <w:rFonts w:hint="eastAsia" w:eastAsia="宋体"/>
                      <w:lang w:val="en-US" w:eastAsia="zh-CN"/>
                    </w:rPr>
                    <w:t>危险</w:t>
                  </w:r>
                </w:p>
                <w:p>
                  <w:pPr>
                    <w:pStyle w:val="48"/>
                    <w:adjustRightInd w:val="0"/>
                    <w:snapToGrid w:val="0"/>
                    <w:rPr>
                      <w:rFonts w:hint="default" w:eastAsia="宋体"/>
                      <w:lang w:val="en-US" w:eastAsia="zh-CN"/>
                    </w:rPr>
                  </w:pPr>
                  <w:r>
                    <w:rPr>
                      <w:rFonts w:hint="eastAsia" w:eastAsia="宋体"/>
                      <w:lang w:val="en-US" w:eastAsia="zh-CN"/>
                    </w:rPr>
                    <w:t>废物</w:t>
                  </w:r>
                </w:p>
              </w:tc>
              <w:tc>
                <w:tcPr>
                  <w:tcW w:w="1525" w:type="pct"/>
                  <w:tcBorders>
                    <w:top w:val="single" w:color="auto" w:sz="4" w:space="0"/>
                    <w:left w:val="single" w:color="auto" w:sz="6" w:space="0"/>
                    <w:right w:val="single" w:color="auto" w:sz="6" w:space="0"/>
                  </w:tcBorders>
                  <w:noWrap w:val="0"/>
                  <w:vAlign w:val="center"/>
                </w:tcPr>
                <w:p>
                  <w:pPr>
                    <w:pStyle w:val="48"/>
                    <w:adjustRightInd w:val="0"/>
                    <w:snapToGrid w:val="0"/>
                    <w:rPr>
                      <w:rFonts w:hint="default" w:eastAsia="宋体"/>
                      <w:lang w:val="en-US" w:eastAsia="zh-CN"/>
                    </w:rPr>
                  </w:pPr>
                  <w:r>
                    <w:rPr>
                      <w:rFonts w:hint="eastAsia" w:eastAsia="宋体"/>
                      <w:lang w:val="en-US" w:eastAsia="zh-CN"/>
                    </w:rPr>
                    <w:t>危废仓库10</w:t>
                  </w:r>
                  <w:r>
                    <w:rPr>
                      <w:rFonts w:hint="eastAsia" w:eastAsia="宋体"/>
                    </w:rPr>
                    <w:t>m</w:t>
                  </w:r>
                  <w:r>
                    <w:rPr>
                      <w:rFonts w:hint="eastAsia" w:eastAsia="宋体"/>
                      <w:vertAlign w:val="superscript"/>
                    </w:rPr>
                    <w:t>2</w:t>
                  </w:r>
                </w:p>
              </w:tc>
              <w:tc>
                <w:tcPr>
                  <w:tcW w:w="1135" w:type="pct"/>
                  <w:vMerge w:val="continue"/>
                  <w:tcBorders>
                    <w:left w:val="single" w:color="auto" w:sz="6" w:space="0"/>
                    <w:bottom w:val="single" w:color="auto" w:sz="4" w:space="0"/>
                    <w:right w:val="single" w:color="auto" w:sz="6" w:space="0"/>
                  </w:tcBorders>
                  <w:noWrap w:val="0"/>
                  <w:vAlign w:val="center"/>
                </w:tcPr>
                <w:p>
                  <w:pPr>
                    <w:pStyle w:val="48"/>
                    <w:adjustRightInd w:val="0"/>
                    <w:snapToGrid w:val="0"/>
                    <w:rPr>
                      <w:rFonts w:hint="eastAsia" w:eastAsia="宋体"/>
                      <w:lang w:val="en-US" w:eastAsia="zh-CN"/>
                    </w:rPr>
                  </w:pPr>
                </w:p>
              </w:tc>
              <w:tc>
                <w:tcPr>
                  <w:tcW w:w="1091" w:type="pct"/>
                  <w:tcBorders>
                    <w:left w:val="single" w:color="auto" w:sz="6" w:space="0"/>
                    <w:bottom w:val="single" w:color="auto" w:sz="4" w:space="0"/>
                    <w:right w:val="nil"/>
                  </w:tcBorders>
                  <w:noWrap w:val="0"/>
                  <w:vAlign w:val="center"/>
                </w:tcPr>
                <w:p>
                  <w:pPr>
                    <w:pStyle w:val="48"/>
                    <w:adjustRightInd w:val="0"/>
                    <w:snapToGrid w:val="0"/>
                    <w:rPr>
                      <w:rFonts w:hint="eastAsia" w:eastAsia="宋体"/>
                      <w:lang w:val="en-US" w:eastAsia="zh-CN"/>
                    </w:rPr>
                  </w:pPr>
                  <w:r>
                    <w:rPr>
                      <w:rFonts w:hint="eastAsia" w:eastAsia="宋体"/>
                    </w:rPr>
                    <w:t>位于</w:t>
                  </w:r>
                  <w:r>
                    <w:rPr>
                      <w:rFonts w:hint="eastAsia" w:eastAsia="宋体"/>
                      <w:lang w:val="en-US" w:eastAsia="zh-CN"/>
                    </w:rPr>
                    <w:t>生产车间三东侧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340" w:hRule="atLeast"/>
                <w:jc w:val="center"/>
              </w:trPr>
              <w:tc>
                <w:tcPr>
                  <w:tcW w:w="402" w:type="pct"/>
                  <w:vMerge w:val="continue"/>
                  <w:tcBorders>
                    <w:top w:val="single" w:color="auto" w:sz="4" w:space="0"/>
                    <w:left w:val="nil"/>
                    <w:bottom w:val="single" w:color="auto" w:sz="4" w:space="0"/>
                    <w:right w:val="single" w:color="auto" w:sz="6" w:space="0"/>
                  </w:tcBorders>
                  <w:noWrap w:val="0"/>
                  <w:vAlign w:val="center"/>
                </w:tcPr>
                <w:p>
                  <w:pPr>
                    <w:pStyle w:val="48"/>
                    <w:adjustRightInd w:val="0"/>
                    <w:snapToGrid w:val="0"/>
                    <w:rPr>
                      <w:rFonts w:eastAsia="宋体"/>
                    </w:rPr>
                  </w:pPr>
                </w:p>
              </w:tc>
              <w:tc>
                <w:tcPr>
                  <w:tcW w:w="846" w:type="pct"/>
                  <w:gridSpan w:val="2"/>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eastAsia="宋体"/>
                    </w:rPr>
                  </w:pPr>
                  <w:r>
                    <w:rPr>
                      <w:rFonts w:hint="eastAsia" w:eastAsia="宋体"/>
                    </w:rPr>
                    <w:t>噪声</w:t>
                  </w:r>
                </w:p>
              </w:tc>
              <w:tc>
                <w:tcPr>
                  <w:tcW w:w="1525" w:type="pct"/>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eastAsia="宋体"/>
                    </w:rPr>
                  </w:pPr>
                  <w:r>
                    <w:rPr>
                      <w:rFonts w:hint="eastAsia" w:eastAsia="宋体"/>
                    </w:rPr>
                    <w:t>隔声、减振、消音措施</w:t>
                  </w:r>
                </w:p>
              </w:tc>
              <w:tc>
                <w:tcPr>
                  <w:tcW w:w="1135" w:type="pct"/>
                  <w:tcBorders>
                    <w:top w:val="single" w:color="auto" w:sz="4" w:space="0"/>
                    <w:left w:val="single" w:color="auto" w:sz="6" w:space="0"/>
                    <w:bottom w:val="single" w:color="auto" w:sz="4" w:space="0"/>
                    <w:right w:val="single" w:color="auto" w:sz="6" w:space="0"/>
                  </w:tcBorders>
                  <w:noWrap w:val="0"/>
                  <w:vAlign w:val="center"/>
                </w:tcPr>
                <w:p>
                  <w:pPr>
                    <w:pStyle w:val="48"/>
                    <w:adjustRightInd w:val="0"/>
                    <w:snapToGrid w:val="0"/>
                    <w:rPr>
                      <w:rFonts w:hint="eastAsia" w:eastAsia="宋体"/>
                    </w:rPr>
                  </w:pPr>
                  <w:r>
                    <w:rPr>
                      <w:rFonts w:hint="eastAsia" w:eastAsia="宋体"/>
                    </w:rPr>
                    <w:t>降噪</w:t>
                  </w:r>
                  <w:r>
                    <w:rPr>
                      <w:rFonts w:eastAsia="宋体"/>
                    </w:rPr>
                    <w:t>≥</w:t>
                  </w:r>
                  <w:r>
                    <w:rPr>
                      <w:rFonts w:hint="eastAsia" w:eastAsia="宋体"/>
                    </w:rPr>
                    <w:t>25dB(A)</w:t>
                  </w:r>
                </w:p>
              </w:tc>
              <w:tc>
                <w:tcPr>
                  <w:tcW w:w="1091" w:type="pct"/>
                  <w:tcBorders>
                    <w:top w:val="single" w:color="auto" w:sz="4" w:space="0"/>
                    <w:left w:val="single" w:color="auto" w:sz="6" w:space="0"/>
                    <w:bottom w:val="single" w:color="auto" w:sz="4" w:space="0"/>
                    <w:right w:val="nil"/>
                  </w:tcBorders>
                  <w:noWrap w:val="0"/>
                  <w:vAlign w:val="center"/>
                </w:tcPr>
                <w:p>
                  <w:pPr>
                    <w:pStyle w:val="48"/>
                    <w:adjustRightInd w:val="0"/>
                    <w:snapToGrid w:val="0"/>
                    <w:rPr>
                      <w:rFonts w:hint="eastAsia" w:eastAsia="宋体"/>
                    </w:rPr>
                  </w:pPr>
                  <w:r>
                    <w:rPr>
                      <w:rFonts w:hint="eastAsia" w:eastAsia="宋体"/>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340" w:hRule="atLeast"/>
                <w:jc w:val="center"/>
              </w:trPr>
              <w:tc>
                <w:tcPr>
                  <w:tcW w:w="402" w:type="pct"/>
                  <w:tcBorders>
                    <w:top w:val="single" w:color="auto" w:sz="4" w:space="0"/>
                    <w:left w:val="nil"/>
                    <w:bottom w:val="single" w:color="auto" w:sz="12" w:space="0"/>
                    <w:right w:val="single" w:color="auto" w:sz="6" w:space="0"/>
                  </w:tcBorders>
                  <w:noWrap w:val="0"/>
                  <w:vAlign w:val="center"/>
                </w:tcPr>
                <w:p>
                  <w:pPr>
                    <w:pStyle w:val="48"/>
                    <w:adjustRightInd w:val="0"/>
                    <w:snapToGrid w:val="0"/>
                    <w:rPr>
                      <w:rFonts w:eastAsia="宋体"/>
                    </w:rPr>
                  </w:pPr>
                  <w:r>
                    <w:rPr>
                      <w:rFonts w:hint="eastAsia" w:eastAsia="宋体"/>
                    </w:rPr>
                    <w:t>依托工程</w:t>
                  </w:r>
                </w:p>
              </w:tc>
              <w:tc>
                <w:tcPr>
                  <w:tcW w:w="4597" w:type="pct"/>
                  <w:gridSpan w:val="5"/>
                  <w:tcBorders>
                    <w:top w:val="single" w:color="auto" w:sz="4" w:space="0"/>
                    <w:left w:val="single" w:color="auto" w:sz="6" w:space="0"/>
                    <w:bottom w:val="single" w:color="auto" w:sz="12" w:space="0"/>
                    <w:right w:val="nil"/>
                  </w:tcBorders>
                  <w:noWrap w:val="0"/>
                  <w:vAlign w:val="center"/>
                </w:tcPr>
                <w:p>
                  <w:pPr>
                    <w:pStyle w:val="48"/>
                    <w:adjustRightInd w:val="0"/>
                    <w:snapToGrid w:val="0"/>
                    <w:rPr>
                      <w:rFonts w:eastAsia="宋体"/>
                    </w:rPr>
                  </w:pPr>
                  <w:r>
                    <w:rPr>
                      <w:rFonts w:hint="eastAsia" w:eastAsia="宋体"/>
                    </w:rPr>
                    <w:t>依托租赁方污水管网和排污口、雨水管网和排口，供水、供电等基础设施</w:t>
                  </w:r>
                </w:p>
              </w:tc>
            </w:tr>
          </w:tbl>
          <w:p>
            <w:pPr>
              <w:adjustRightInd w:val="0"/>
              <w:snapToGrid w:val="0"/>
              <w:spacing w:before="120" w:beforeLines="50" w:line="360" w:lineRule="auto"/>
              <w:ind w:firstLine="482" w:firstLineChars="200"/>
              <w:rPr>
                <w:rFonts w:hint="eastAsia"/>
                <w:b/>
                <w:bCs/>
                <w:sz w:val="24"/>
              </w:rPr>
            </w:pPr>
            <w:r>
              <w:rPr>
                <w:rFonts w:hint="eastAsia"/>
                <w:b/>
                <w:bCs/>
                <w:sz w:val="24"/>
              </w:rPr>
              <w:t>依托可行性分析：</w:t>
            </w:r>
          </w:p>
          <w:p>
            <w:pPr>
              <w:pStyle w:val="8"/>
              <w:adjustRightInd w:val="0"/>
              <w:snapToGrid w:val="0"/>
              <w:spacing w:line="360" w:lineRule="auto"/>
              <w:ind w:firstLine="480" w:firstLineChars="200"/>
              <w:rPr>
                <w:rFonts w:ascii="Times New Roman" w:hAnsi="Times New Roman" w:eastAsia="宋体"/>
              </w:rPr>
            </w:pPr>
            <w:r>
              <w:rPr>
                <w:rFonts w:hint="eastAsia" w:ascii="Times New Roman" w:hAnsi="Times New Roman" w:eastAsia="宋体"/>
              </w:rPr>
              <w:t>（1）主体工程依托可行性</w:t>
            </w:r>
          </w:p>
          <w:p>
            <w:pPr>
              <w:pStyle w:val="8"/>
              <w:adjustRightInd w:val="0"/>
              <w:snapToGrid w:val="0"/>
              <w:spacing w:line="360" w:lineRule="auto"/>
              <w:ind w:firstLine="480" w:firstLineChars="200"/>
              <w:rPr>
                <w:rFonts w:ascii="Times New Roman" w:hAnsi="Times New Roman" w:eastAsia="宋体"/>
                <w:color w:val="0000FF"/>
                <w:highlight w:val="none"/>
              </w:rPr>
            </w:pPr>
            <w:r>
              <w:rPr>
                <w:rFonts w:hint="eastAsia" w:ascii="Times New Roman" w:hAnsi="Times New Roman" w:eastAsia="宋体"/>
                <w:highlight w:val="none"/>
              </w:rPr>
              <w:t>项目</w:t>
            </w:r>
            <w:r>
              <w:rPr>
                <w:rFonts w:hint="eastAsia" w:ascii="Times New Roman" w:hAnsi="Times New Roman" w:eastAsia="宋体"/>
                <w:highlight w:val="none"/>
                <w:lang w:val="en-US" w:eastAsia="zh-CN"/>
              </w:rPr>
              <w:t>租赁</w:t>
            </w:r>
            <w:r>
              <w:rPr>
                <w:rFonts w:hint="eastAsia" w:ascii="Times New Roman" w:hAnsi="Times New Roman" w:eastAsia="宋体"/>
                <w:highlight w:val="none"/>
              </w:rPr>
              <w:t>常州</w:t>
            </w:r>
            <w:r>
              <w:rPr>
                <w:rFonts w:hint="eastAsia" w:ascii="Times New Roman" w:hAnsi="Times New Roman" w:eastAsia="宋体"/>
                <w:highlight w:val="none"/>
                <w:lang w:val="en-US" w:eastAsia="zh-CN"/>
              </w:rPr>
              <w:t>江苏华科园投资发展有限公司</w:t>
            </w:r>
            <w:r>
              <w:rPr>
                <w:rFonts w:hint="eastAsia" w:ascii="Times New Roman" w:hAnsi="Times New Roman" w:eastAsia="宋体"/>
                <w:highlight w:val="none"/>
              </w:rPr>
              <w:t>已建</w:t>
            </w:r>
            <w:r>
              <w:rPr>
                <w:rFonts w:hint="eastAsia" w:ascii="Times New Roman" w:hAnsi="Times New Roman" w:eastAsia="宋体"/>
                <w:highlight w:val="none"/>
                <w:lang w:val="en-US" w:eastAsia="zh-CN"/>
              </w:rPr>
              <w:t>厂房国际工业城5号楼北楼四层东侧</w:t>
            </w:r>
            <w:r>
              <w:rPr>
                <w:rFonts w:hint="eastAsia" w:ascii="Times New Roman" w:hAnsi="Times New Roman" w:eastAsia="宋体"/>
                <w:highlight w:val="none"/>
              </w:rPr>
              <w:t>部分闲置区域，</w:t>
            </w:r>
            <w:r>
              <w:rPr>
                <w:rFonts w:hint="eastAsia" w:ascii="Times New Roman" w:hAnsi="Times New Roman" w:eastAsia="宋体"/>
                <w:highlight w:val="none"/>
                <w:lang w:val="en-US" w:eastAsia="zh-CN"/>
              </w:rPr>
              <w:t>在</w:t>
            </w:r>
            <w:r>
              <w:rPr>
                <w:rFonts w:hint="eastAsia" w:eastAsia="宋体"/>
                <w:highlight w:val="none"/>
              </w:rPr>
              <w:t>租赁区域中部及</w:t>
            </w:r>
            <w:r>
              <w:rPr>
                <w:rFonts w:hint="eastAsia" w:eastAsia="宋体"/>
                <w:highlight w:val="none"/>
                <w:lang w:val="en-US" w:eastAsia="zh-CN"/>
              </w:rPr>
              <w:t>南</w:t>
            </w:r>
            <w:r>
              <w:rPr>
                <w:rFonts w:hint="eastAsia" w:eastAsia="宋体"/>
                <w:highlight w:val="none"/>
              </w:rPr>
              <w:t>部</w:t>
            </w:r>
            <w:r>
              <w:rPr>
                <w:rFonts w:hint="eastAsia" w:eastAsia="宋体"/>
                <w:highlight w:val="none"/>
                <w:lang w:val="en-US" w:eastAsia="zh-CN"/>
              </w:rPr>
              <w:t>新建十万级洁净车间，本项目洁净车间</w:t>
            </w:r>
            <w:r>
              <w:rPr>
                <w:rFonts w:hint="eastAsia" w:ascii="Times New Roman" w:hAnsi="Times New Roman" w:eastAsia="宋体"/>
                <w:highlight w:val="none"/>
              </w:rPr>
              <w:t>建筑面积共</w:t>
            </w:r>
            <w:r>
              <w:rPr>
                <w:rFonts w:hint="eastAsia" w:ascii="Times New Roman" w:hAnsi="Times New Roman" w:eastAsia="宋体"/>
                <w:highlight w:val="none"/>
                <w:lang w:val="en-US" w:eastAsia="zh-CN"/>
              </w:rPr>
              <w:t>470</w:t>
            </w:r>
            <w:r>
              <w:rPr>
                <w:rFonts w:hint="eastAsia" w:ascii="Times New Roman" w:hAnsi="Times New Roman" w:eastAsia="宋体"/>
                <w:highlight w:val="none"/>
              </w:rPr>
              <w:t>m</w:t>
            </w:r>
            <w:r>
              <w:rPr>
                <w:rFonts w:hint="eastAsia" w:ascii="Times New Roman" w:hAnsi="Times New Roman" w:eastAsia="宋体"/>
                <w:highlight w:val="none"/>
                <w:vertAlign w:val="superscript"/>
              </w:rPr>
              <w:t>2</w:t>
            </w:r>
            <w:r>
              <w:rPr>
                <w:rFonts w:hint="eastAsia" w:ascii="Times New Roman" w:hAnsi="Times New Roman" w:eastAsia="宋体" w:cs="Times New Roman"/>
                <w:highlight w:val="none"/>
                <w:lang w:eastAsia="zh-CN"/>
              </w:rPr>
              <w:t>（</w:t>
            </w:r>
            <w:r>
              <w:rPr>
                <w:rFonts w:hint="eastAsia" w:eastAsia="宋体"/>
                <w:highlight w:val="none"/>
                <w:lang w:val="en-US" w:eastAsia="zh-CN"/>
              </w:rPr>
              <w:t>洁净车间包含</w:t>
            </w:r>
            <w:r>
              <w:rPr>
                <w:rFonts w:hint="eastAsia" w:ascii="Times New Roman" w:hAnsi="Times New Roman" w:eastAsia="宋体" w:cs="Times New Roman"/>
                <w:highlight w:val="none"/>
                <w:lang w:val="en-US" w:eastAsia="zh-CN"/>
              </w:rPr>
              <w:t>生产车间四、洁具间、更衣室、中间库、精洗间以及中间过道）</w:t>
            </w:r>
            <w:r>
              <w:rPr>
                <w:rFonts w:hint="eastAsia" w:ascii="Times New Roman" w:hAnsi="Times New Roman" w:eastAsia="宋体"/>
                <w:highlight w:val="none"/>
              </w:rPr>
              <w:t>，因此生产空间能够满足本项目建设生产需求。</w:t>
            </w:r>
          </w:p>
          <w:p>
            <w:pPr>
              <w:pStyle w:val="8"/>
              <w:adjustRightInd w:val="0"/>
              <w:snapToGrid w:val="0"/>
              <w:spacing w:line="360" w:lineRule="auto"/>
              <w:ind w:firstLine="480" w:firstLineChars="200"/>
              <w:rPr>
                <w:rFonts w:ascii="Times New Roman" w:hAnsi="Times New Roman" w:eastAsia="宋体"/>
              </w:rPr>
            </w:pPr>
            <w:r>
              <w:rPr>
                <w:rFonts w:hint="eastAsia" w:ascii="Times New Roman" w:hAnsi="Times New Roman" w:eastAsia="宋体"/>
              </w:rPr>
              <w:t>（2）公用工程依托可行性分析</w:t>
            </w:r>
          </w:p>
          <w:p>
            <w:pPr>
              <w:adjustRightInd w:val="0"/>
              <w:snapToGrid w:val="0"/>
              <w:spacing w:line="360" w:lineRule="auto"/>
              <w:ind w:firstLine="480" w:firstLineChars="200"/>
              <w:rPr>
                <w:rFonts w:hint="eastAsia"/>
                <w:sz w:val="24"/>
              </w:rPr>
            </w:pPr>
            <w:r>
              <w:rPr>
                <w:rFonts w:hint="eastAsia" w:ascii="Times New Roman" w:hAnsi="Times New Roman" w:eastAsia="宋体" w:cs="Times New Roman"/>
                <w:kern w:val="2"/>
                <w:sz w:val="24"/>
                <w:szCs w:val="24"/>
                <w:highlight w:val="none"/>
                <w:lang w:val="en-US" w:eastAsia="zh-CN" w:bidi="ar-SA"/>
              </w:rPr>
              <w:t>本项目供水由市政给水管网提供，依托园区已建管网；生活污水</w:t>
            </w:r>
            <w:r>
              <w:rPr>
                <w:rFonts w:hint="eastAsia" w:eastAsia="宋体"/>
                <w:sz w:val="24"/>
                <w:lang w:val="en-US" w:eastAsia="zh-CN"/>
              </w:rPr>
              <w:t>依托江苏华科园投资发展有限公司污水管网和污水接管口接入市政污水管网，进金坛区第二污水处理厂处理，最终排入尧唐河。江苏华科园投资发展有限公司应确保本项目仅排放员工的生活污水以及清洗废水、纯水制备浓水，严禁向排污口倾倒其他废水、废液等。江苏华科园投资发展有限公司应加强管理，确保厂区污水接管口各因子可达金坛区第二污水处理厂接管标准要求。若厂区污水接管口出现超标排放，由江苏华科园投资发展有限公司承担相关责任</w:t>
            </w:r>
            <w:r>
              <w:rPr>
                <w:rFonts w:hint="eastAsia" w:ascii="Times New Roman" w:hAnsi="Times New Roman" w:eastAsia="宋体" w:cs="Times New Roman"/>
                <w:kern w:val="2"/>
                <w:sz w:val="24"/>
                <w:szCs w:val="24"/>
                <w:highlight w:val="none"/>
                <w:lang w:val="en-US" w:eastAsia="zh-CN" w:bidi="ar-SA"/>
              </w:rPr>
              <w:t>；</w:t>
            </w:r>
            <w:r>
              <w:rPr>
                <w:rFonts w:hint="eastAsia" w:eastAsia="宋体"/>
                <w:sz w:val="24"/>
                <w:lang w:val="en-US" w:eastAsia="zh-CN"/>
              </w:rPr>
              <w:t>本项目不增设雨水管网及雨水排口，依托江苏华科园投资发展有限公司已有雨水管网及雨水排口</w:t>
            </w:r>
            <w:r>
              <w:rPr>
                <w:rFonts w:hint="eastAsia" w:ascii="Times New Roman" w:hAnsi="Times New Roman" w:eastAsia="宋体" w:cs="Times New Roman"/>
                <w:kern w:val="2"/>
                <w:sz w:val="24"/>
                <w:szCs w:val="24"/>
                <w:highlight w:val="none"/>
                <w:lang w:val="en-US" w:eastAsia="zh-CN" w:bidi="ar-SA"/>
              </w:rPr>
              <w:t>；供水、供电等基础设施均依托</w:t>
            </w:r>
            <w:r>
              <w:rPr>
                <w:rFonts w:hint="eastAsia" w:eastAsia="宋体"/>
                <w:sz w:val="24"/>
                <w:lang w:val="en-US" w:eastAsia="zh-CN"/>
              </w:rPr>
              <w:t>江苏华科园投资发展有限公司</w:t>
            </w:r>
            <w:r>
              <w:rPr>
                <w:rFonts w:hint="eastAsia" w:ascii="Times New Roman" w:hAnsi="Times New Roman" w:eastAsia="宋体" w:cs="Times New Roman"/>
                <w:kern w:val="2"/>
                <w:sz w:val="24"/>
                <w:szCs w:val="24"/>
                <w:highlight w:val="none"/>
                <w:lang w:val="en-US" w:eastAsia="zh-CN" w:bidi="ar-SA"/>
              </w:rPr>
              <w:t>。</w:t>
            </w:r>
            <w:r>
              <w:rPr>
                <w:rFonts w:hint="eastAsia"/>
                <w:sz w:val="24"/>
              </w:rPr>
              <w:t>因此项目公用工程依托能够满足本项目生产建设使用。</w:t>
            </w:r>
          </w:p>
          <w:p>
            <w:pPr>
              <w:adjustRightInd w:val="0"/>
              <w:snapToGrid w:val="0"/>
              <w:spacing w:line="360" w:lineRule="auto"/>
              <w:ind w:firstLine="482" w:firstLineChars="200"/>
              <w:rPr>
                <w:b/>
                <w:bCs/>
                <w:sz w:val="24"/>
              </w:rPr>
            </w:pPr>
            <w:r>
              <w:rPr>
                <w:rFonts w:hint="eastAsia"/>
                <w:b/>
                <w:bCs/>
                <w:sz w:val="24"/>
              </w:rPr>
              <w:t>4、</w:t>
            </w:r>
            <w:r>
              <w:rPr>
                <w:b/>
                <w:bCs/>
                <w:sz w:val="24"/>
              </w:rPr>
              <w:t>主要生产设备情况</w:t>
            </w:r>
          </w:p>
          <w:p>
            <w:pPr>
              <w:pStyle w:val="35"/>
              <w:adjustRightInd w:val="0"/>
              <w:snapToGrid w:val="0"/>
              <w:spacing w:before="0" w:beforeLines="0" w:after="0" w:afterLines="0" w:line="360" w:lineRule="auto"/>
              <w:ind w:firstLine="480" w:firstLineChars="200"/>
              <w:jc w:val="both"/>
              <w:rPr>
                <w:rFonts w:eastAsia="宋体"/>
                <w:b w:val="0"/>
                <w:bCs/>
              </w:rPr>
            </w:pPr>
            <w:r>
              <w:rPr>
                <w:rFonts w:eastAsia="宋体"/>
                <w:b w:val="0"/>
                <w:bCs/>
              </w:rPr>
              <w:t>本项目主要生产设备见表2-</w:t>
            </w:r>
            <w:r>
              <w:rPr>
                <w:rFonts w:hint="eastAsia" w:eastAsia="宋体"/>
                <w:b w:val="0"/>
                <w:bCs/>
              </w:rPr>
              <w:t>3</w:t>
            </w:r>
            <w:r>
              <w:rPr>
                <w:rFonts w:eastAsia="宋体"/>
                <w:b w:val="0"/>
                <w:bCs/>
              </w:rPr>
              <w:t>。</w:t>
            </w:r>
          </w:p>
          <w:p>
            <w:pPr>
              <w:pStyle w:val="35"/>
              <w:adjustRightInd w:val="0"/>
              <w:snapToGrid w:val="0"/>
              <w:spacing w:before="0" w:beforeLines="0" w:after="0" w:afterLines="0"/>
              <w:rPr>
                <w:rFonts w:eastAsia="宋体"/>
              </w:rPr>
            </w:pPr>
            <w:r>
              <w:rPr>
                <w:rFonts w:eastAsia="宋体"/>
              </w:rPr>
              <w:t>表2-</w:t>
            </w:r>
            <w:r>
              <w:rPr>
                <w:rFonts w:hint="eastAsia" w:eastAsia="宋体"/>
              </w:rPr>
              <w:t xml:space="preserve">3  </w:t>
            </w:r>
            <w:r>
              <w:rPr>
                <w:rFonts w:eastAsia="宋体"/>
              </w:rPr>
              <w:t>建设项目主要设备表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1460"/>
              <w:gridCol w:w="1743"/>
              <w:gridCol w:w="2727"/>
              <w:gridCol w:w="2479"/>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868" w:type="pct"/>
                  <w:noWrap w:val="0"/>
                  <w:vAlign w:val="center"/>
                </w:tcPr>
                <w:p>
                  <w:pPr>
                    <w:pStyle w:val="50"/>
                    <w:adjustRightInd w:val="0"/>
                    <w:snapToGrid w:val="0"/>
                    <w:rPr>
                      <w:rFonts w:eastAsia="宋体"/>
                    </w:rPr>
                  </w:pPr>
                  <w:r>
                    <w:rPr>
                      <w:rFonts w:eastAsia="宋体"/>
                    </w:rPr>
                    <w:t>类型</w:t>
                  </w:r>
                </w:p>
              </w:tc>
              <w:tc>
                <w:tcPr>
                  <w:tcW w:w="1036" w:type="pct"/>
                  <w:noWrap w:val="0"/>
                  <w:vAlign w:val="center"/>
                </w:tcPr>
                <w:p>
                  <w:pPr>
                    <w:pStyle w:val="50"/>
                    <w:adjustRightInd w:val="0"/>
                    <w:snapToGrid w:val="0"/>
                    <w:rPr>
                      <w:rFonts w:eastAsia="宋体"/>
                    </w:rPr>
                  </w:pPr>
                  <w:r>
                    <w:rPr>
                      <w:rFonts w:eastAsia="宋体"/>
                    </w:rPr>
                    <w:t>工序</w:t>
                  </w:r>
                </w:p>
              </w:tc>
              <w:tc>
                <w:tcPr>
                  <w:tcW w:w="1621" w:type="pct"/>
                  <w:noWrap w:val="0"/>
                  <w:vAlign w:val="center"/>
                </w:tcPr>
                <w:p>
                  <w:pPr>
                    <w:pStyle w:val="50"/>
                    <w:adjustRightInd w:val="0"/>
                    <w:snapToGrid w:val="0"/>
                    <w:rPr>
                      <w:rFonts w:eastAsia="宋体"/>
                    </w:rPr>
                  </w:pPr>
                  <w:r>
                    <w:rPr>
                      <w:rFonts w:eastAsia="宋体"/>
                    </w:rPr>
                    <w:t>名称</w:t>
                  </w:r>
                </w:p>
              </w:tc>
              <w:tc>
                <w:tcPr>
                  <w:tcW w:w="1474" w:type="pct"/>
                  <w:noWrap w:val="0"/>
                  <w:vAlign w:val="center"/>
                </w:tcPr>
                <w:p>
                  <w:pPr>
                    <w:pStyle w:val="50"/>
                    <w:adjustRightInd w:val="0"/>
                    <w:snapToGrid w:val="0"/>
                    <w:rPr>
                      <w:rFonts w:eastAsia="宋体"/>
                    </w:rPr>
                  </w:pPr>
                  <w:r>
                    <w:rPr>
                      <w:rFonts w:eastAsia="宋体"/>
                    </w:rPr>
                    <w:t>数量（台）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868" w:type="pct"/>
                  <w:vMerge w:val="restart"/>
                  <w:noWrap w:val="0"/>
                  <w:vAlign w:val="center"/>
                </w:tcPr>
                <w:p>
                  <w:pPr>
                    <w:pStyle w:val="48"/>
                    <w:adjustRightInd w:val="0"/>
                    <w:snapToGrid w:val="0"/>
                    <w:rPr>
                      <w:rFonts w:eastAsia="宋体"/>
                    </w:rPr>
                  </w:pPr>
                  <w:r>
                    <w:rPr>
                      <w:rFonts w:eastAsia="宋体"/>
                    </w:rPr>
                    <w:t>生产设备</w:t>
                  </w:r>
                </w:p>
              </w:tc>
              <w:tc>
                <w:tcPr>
                  <w:tcW w:w="1036"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焊接</w:t>
                  </w:r>
                </w:p>
              </w:tc>
              <w:tc>
                <w:tcPr>
                  <w:tcW w:w="1621"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激光焊接机</w:t>
                  </w:r>
                </w:p>
              </w:tc>
              <w:tc>
                <w:tcPr>
                  <w:tcW w:w="1474"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868" w:type="pct"/>
                  <w:vMerge w:val="continue"/>
                  <w:noWrap w:val="0"/>
                  <w:vAlign w:val="center"/>
                </w:tcPr>
                <w:p>
                  <w:pPr>
                    <w:pStyle w:val="48"/>
                    <w:adjustRightInd w:val="0"/>
                    <w:snapToGrid w:val="0"/>
                    <w:rPr>
                      <w:rFonts w:eastAsia="宋体"/>
                    </w:rPr>
                  </w:pPr>
                </w:p>
              </w:tc>
              <w:tc>
                <w:tcPr>
                  <w:tcW w:w="1036"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抛光</w:t>
                  </w:r>
                </w:p>
              </w:tc>
              <w:tc>
                <w:tcPr>
                  <w:tcW w:w="1621"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磁力研磨机</w:t>
                  </w:r>
                </w:p>
              </w:tc>
              <w:tc>
                <w:tcPr>
                  <w:tcW w:w="1474"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868" w:type="pct"/>
                  <w:vMerge w:val="continue"/>
                  <w:noWrap w:val="0"/>
                  <w:vAlign w:val="center"/>
                </w:tcPr>
                <w:p>
                  <w:pPr>
                    <w:pStyle w:val="48"/>
                    <w:adjustRightInd w:val="0"/>
                    <w:snapToGrid w:val="0"/>
                    <w:rPr>
                      <w:rFonts w:eastAsia="宋体"/>
                    </w:rPr>
                  </w:pPr>
                </w:p>
              </w:tc>
              <w:tc>
                <w:tcPr>
                  <w:tcW w:w="1036" w:type="pct"/>
                  <w:noWrap w:val="0"/>
                  <w:vAlign w:val="center"/>
                </w:tcPr>
                <w:p>
                  <w:pPr>
                    <w:pStyle w:val="51"/>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清洗</w:t>
                  </w:r>
                </w:p>
              </w:tc>
              <w:tc>
                <w:tcPr>
                  <w:tcW w:w="1621" w:type="pct"/>
                  <w:noWrap w:val="0"/>
                  <w:vAlign w:val="center"/>
                </w:tcPr>
                <w:p>
                  <w:pPr>
                    <w:pStyle w:val="51"/>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超声波清洗机</w:t>
                  </w:r>
                </w:p>
              </w:tc>
              <w:tc>
                <w:tcPr>
                  <w:tcW w:w="1474"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868" w:type="pct"/>
                  <w:vMerge w:val="continue"/>
                  <w:noWrap w:val="0"/>
                  <w:vAlign w:val="center"/>
                </w:tcPr>
                <w:p>
                  <w:pPr>
                    <w:pStyle w:val="48"/>
                    <w:adjustRightInd w:val="0"/>
                    <w:snapToGrid w:val="0"/>
                    <w:rPr>
                      <w:rFonts w:eastAsia="宋体"/>
                    </w:rPr>
                  </w:pPr>
                </w:p>
              </w:tc>
              <w:tc>
                <w:tcPr>
                  <w:tcW w:w="1036" w:type="pct"/>
                  <w:noWrap w:val="0"/>
                  <w:vAlign w:val="center"/>
                </w:tcPr>
                <w:p>
                  <w:pPr>
                    <w:pStyle w:val="51"/>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下料</w:t>
                  </w:r>
                </w:p>
              </w:tc>
              <w:tc>
                <w:tcPr>
                  <w:tcW w:w="1621" w:type="pct"/>
                  <w:noWrap w:val="0"/>
                  <w:vAlign w:val="center"/>
                </w:tcPr>
                <w:p>
                  <w:pPr>
                    <w:pStyle w:val="51"/>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轴线去皮机</w:t>
                  </w:r>
                </w:p>
              </w:tc>
              <w:tc>
                <w:tcPr>
                  <w:tcW w:w="1474"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868" w:type="pct"/>
                  <w:vMerge w:val="continue"/>
                  <w:noWrap w:val="0"/>
                  <w:vAlign w:val="center"/>
                </w:tcPr>
                <w:p>
                  <w:pPr>
                    <w:pStyle w:val="48"/>
                    <w:adjustRightInd w:val="0"/>
                    <w:snapToGrid w:val="0"/>
                    <w:rPr>
                      <w:rFonts w:eastAsia="宋体"/>
                    </w:rPr>
                  </w:pPr>
                </w:p>
              </w:tc>
              <w:tc>
                <w:tcPr>
                  <w:tcW w:w="1036"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热封</w:t>
                  </w:r>
                </w:p>
              </w:tc>
              <w:tc>
                <w:tcPr>
                  <w:tcW w:w="1621"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热封机</w:t>
                  </w:r>
                </w:p>
              </w:tc>
              <w:tc>
                <w:tcPr>
                  <w:tcW w:w="1474"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868" w:type="pct"/>
                  <w:vMerge w:val="continue"/>
                  <w:noWrap w:val="0"/>
                  <w:vAlign w:val="center"/>
                </w:tcPr>
                <w:p>
                  <w:pPr>
                    <w:pStyle w:val="48"/>
                    <w:adjustRightInd w:val="0"/>
                    <w:snapToGrid w:val="0"/>
                    <w:rPr>
                      <w:rFonts w:eastAsia="宋体"/>
                    </w:rPr>
                  </w:pPr>
                </w:p>
              </w:tc>
              <w:tc>
                <w:tcPr>
                  <w:tcW w:w="1036" w:type="pct"/>
                  <w:noWrap w:val="0"/>
                  <w:vAlign w:val="center"/>
                </w:tcPr>
                <w:p>
                  <w:pPr>
                    <w:pStyle w:val="51"/>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烘干</w:t>
                  </w:r>
                </w:p>
              </w:tc>
              <w:tc>
                <w:tcPr>
                  <w:tcW w:w="1621"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高温烘箱</w:t>
                  </w:r>
                </w:p>
              </w:tc>
              <w:tc>
                <w:tcPr>
                  <w:tcW w:w="1474"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868" w:type="pct"/>
                  <w:vMerge w:val="continue"/>
                  <w:noWrap w:val="0"/>
                  <w:vAlign w:val="center"/>
                </w:tcPr>
                <w:p>
                  <w:pPr>
                    <w:pStyle w:val="48"/>
                    <w:adjustRightInd w:val="0"/>
                    <w:snapToGrid w:val="0"/>
                    <w:rPr>
                      <w:rFonts w:eastAsia="宋体"/>
                    </w:rPr>
                  </w:pPr>
                </w:p>
              </w:tc>
              <w:tc>
                <w:tcPr>
                  <w:tcW w:w="1036"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烘干</w:t>
                  </w:r>
                </w:p>
              </w:tc>
              <w:tc>
                <w:tcPr>
                  <w:tcW w:w="1621"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烘箱</w:t>
                  </w:r>
                </w:p>
              </w:tc>
              <w:tc>
                <w:tcPr>
                  <w:tcW w:w="1474"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868" w:type="pct"/>
                  <w:noWrap w:val="0"/>
                  <w:vAlign w:val="center"/>
                </w:tcPr>
                <w:p>
                  <w:pPr>
                    <w:pStyle w:val="48"/>
                    <w:adjustRightInd w:val="0"/>
                    <w:snapToGrid w:val="0"/>
                    <w:rPr>
                      <w:rFonts w:hint="default" w:eastAsia="宋体"/>
                      <w:lang w:val="en-US" w:eastAsia="zh-CN"/>
                    </w:rPr>
                  </w:pPr>
                  <w:r>
                    <w:rPr>
                      <w:rFonts w:hint="eastAsia" w:eastAsia="宋体"/>
                      <w:lang w:val="en-US" w:eastAsia="zh-CN"/>
                    </w:rPr>
                    <w:t>辅助设备</w:t>
                  </w:r>
                </w:p>
              </w:tc>
              <w:tc>
                <w:tcPr>
                  <w:tcW w:w="1036" w:type="pct"/>
                  <w:noWrap w:val="0"/>
                  <w:vAlign w:val="center"/>
                </w:tcPr>
                <w:p>
                  <w:pPr>
                    <w:pStyle w:val="51"/>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洁净车间</w:t>
                  </w:r>
                </w:p>
              </w:tc>
              <w:tc>
                <w:tcPr>
                  <w:tcW w:w="1621" w:type="pct"/>
                  <w:noWrap w:val="0"/>
                  <w:vAlign w:val="center"/>
                </w:tcPr>
                <w:p>
                  <w:pPr>
                    <w:pStyle w:val="51"/>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风机</w:t>
                  </w:r>
                </w:p>
              </w:tc>
              <w:tc>
                <w:tcPr>
                  <w:tcW w:w="1474" w:type="pct"/>
                  <w:noWrap w:val="0"/>
                  <w:vAlign w:val="center"/>
                </w:tcPr>
                <w:p>
                  <w:pPr>
                    <w:pStyle w:val="51"/>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1台</w:t>
                  </w:r>
                </w:p>
              </w:tc>
            </w:tr>
          </w:tbl>
          <w:p>
            <w:pPr>
              <w:adjustRightInd w:val="0"/>
              <w:snapToGrid w:val="0"/>
              <w:spacing w:before="120" w:beforeLines="50" w:line="360" w:lineRule="auto"/>
              <w:ind w:firstLine="482" w:firstLineChars="200"/>
              <w:rPr>
                <w:b/>
                <w:bCs/>
                <w:sz w:val="24"/>
              </w:rPr>
            </w:pPr>
            <w:r>
              <w:rPr>
                <w:rFonts w:hint="eastAsia"/>
                <w:b/>
                <w:bCs/>
                <w:sz w:val="24"/>
              </w:rPr>
              <w:t>5、</w:t>
            </w:r>
            <w:r>
              <w:rPr>
                <w:b/>
                <w:bCs/>
                <w:sz w:val="24"/>
              </w:rPr>
              <w:t>原辅材料及相关理化性质</w:t>
            </w:r>
          </w:p>
          <w:p>
            <w:pPr>
              <w:pStyle w:val="35"/>
              <w:spacing w:before="0" w:beforeLines="0" w:after="0" w:afterLines="0" w:line="360" w:lineRule="auto"/>
              <w:ind w:firstLine="480" w:firstLineChars="200"/>
              <w:jc w:val="left"/>
              <w:rPr>
                <w:rFonts w:eastAsia="宋体"/>
              </w:rPr>
            </w:pPr>
            <w:r>
              <w:rPr>
                <w:rFonts w:eastAsia="宋体"/>
                <w:b w:val="0"/>
                <w:bCs/>
              </w:rPr>
              <w:t>建设项目主要原辅材料及用量见表2-</w:t>
            </w:r>
            <w:r>
              <w:rPr>
                <w:rFonts w:hint="eastAsia" w:eastAsia="宋体"/>
                <w:b w:val="0"/>
                <w:bCs/>
              </w:rPr>
              <w:t>4</w:t>
            </w:r>
            <w:r>
              <w:rPr>
                <w:rFonts w:eastAsia="宋体"/>
                <w:b w:val="0"/>
                <w:bCs/>
              </w:rPr>
              <w:t>，</w:t>
            </w:r>
            <w:r>
              <w:rPr>
                <w:rFonts w:hint="eastAsia" w:eastAsia="宋体"/>
                <w:b w:val="0"/>
                <w:bCs/>
              </w:rPr>
              <w:t>主要</w:t>
            </w:r>
            <w:r>
              <w:rPr>
                <w:rFonts w:eastAsia="宋体"/>
                <w:b w:val="0"/>
                <w:bCs/>
              </w:rPr>
              <w:t>原辅材料理化性质详见表2-</w:t>
            </w:r>
            <w:r>
              <w:rPr>
                <w:rFonts w:hint="eastAsia" w:eastAsia="宋体"/>
                <w:b w:val="0"/>
                <w:bCs/>
              </w:rPr>
              <w:t>5</w:t>
            </w:r>
            <w:r>
              <w:rPr>
                <w:rFonts w:eastAsia="宋体"/>
                <w:b w:val="0"/>
                <w:bCs/>
              </w:rPr>
              <w:t>。</w:t>
            </w:r>
          </w:p>
          <w:p>
            <w:pPr>
              <w:pStyle w:val="35"/>
              <w:spacing w:before="0" w:beforeLines="0" w:after="0" w:afterLines="0"/>
              <w:rPr>
                <w:rFonts w:eastAsia="宋体"/>
              </w:rPr>
            </w:pPr>
            <w:r>
              <w:rPr>
                <w:rFonts w:eastAsia="宋体"/>
              </w:rPr>
              <w:t>表2-</w:t>
            </w:r>
            <w:r>
              <w:rPr>
                <w:rFonts w:hint="eastAsia" w:eastAsia="宋体"/>
              </w:rPr>
              <w:t xml:space="preserve">4 </w:t>
            </w:r>
            <w:r>
              <w:rPr>
                <w:rFonts w:eastAsia="宋体"/>
              </w:rPr>
              <w:t xml:space="preserve"> 建设项目主要原辅材料表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1"/>
              <w:gridCol w:w="420"/>
              <w:gridCol w:w="948"/>
              <w:gridCol w:w="1523"/>
              <w:gridCol w:w="2087"/>
              <w:gridCol w:w="995"/>
              <w:gridCol w:w="660"/>
              <w:gridCol w:w="660"/>
              <w:gridCol w:w="7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 w:type="pct"/>
                  <w:noWrap w:val="0"/>
                  <w:vAlign w:val="center"/>
                </w:tcPr>
                <w:p>
                  <w:pPr>
                    <w:pStyle w:val="50"/>
                    <w:adjustRightInd w:val="0"/>
                    <w:snapToGrid w:val="0"/>
                    <w:jc w:val="center"/>
                    <w:rPr>
                      <w:rFonts w:eastAsia="宋体"/>
                    </w:rPr>
                  </w:pPr>
                  <w:r>
                    <w:rPr>
                      <w:rFonts w:hint="eastAsia" w:eastAsia="宋体"/>
                      <w:lang w:val="en-US" w:eastAsia="zh-CN"/>
                    </w:rPr>
                    <w:t>类别</w:t>
                  </w:r>
                </w:p>
              </w:tc>
              <w:tc>
                <w:tcPr>
                  <w:tcW w:w="249" w:type="pct"/>
                  <w:noWrap w:val="0"/>
                  <w:vAlign w:val="center"/>
                </w:tcPr>
                <w:p>
                  <w:pPr>
                    <w:pStyle w:val="50"/>
                    <w:adjustRightInd w:val="0"/>
                    <w:snapToGrid w:val="0"/>
                    <w:jc w:val="center"/>
                    <w:rPr>
                      <w:rFonts w:eastAsia="宋体"/>
                    </w:rPr>
                  </w:pPr>
                  <w:r>
                    <w:rPr>
                      <w:rFonts w:eastAsia="宋体"/>
                    </w:rPr>
                    <w:t>名称</w:t>
                  </w:r>
                </w:p>
              </w:tc>
              <w:tc>
                <w:tcPr>
                  <w:tcW w:w="1469" w:type="pct"/>
                  <w:gridSpan w:val="2"/>
                  <w:noWrap w:val="0"/>
                  <w:vAlign w:val="center"/>
                </w:tcPr>
                <w:p>
                  <w:pPr>
                    <w:pStyle w:val="50"/>
                    <w:adjustRightInd w:val="0"/>
                    <w:snapToGrid w:val="0"/>
                    <w:jc w:val="center"/>
                    <w:rPr>
                      <w:rFonts w:hint="eastAsia" w:eastAsia="宋体"/>
                      <w:lang w:val="en-US" w:eastAsia="zh-CN"/>
                    </w:rPr>
                  </w:pPr>
                  <w:r>
                    <w:rPr>
                      <w:rFonts w:hint="eastAsia" w:eastAsia="宋体"/>
                      <w:lang w:val="en-US" w:eastAsia="zh-CN"/>
                    </w:rPr>
                    <w:t>配件</w:t>
                  </w:r>
                </w:p>
              </w:tc>
              <w:tc>
                <w:tcPr>
                  <w:tcW w:w="1240" w:type="pct"/>
                  <w:tcBorders>
                    <w:right w:val="single" w:color="auto" w:sz="4" w:space="0"/>
                  </w:tcBorders>
                  <w:noWrap w:val="0"/>
                  <w:vAlign w:val="center"/>
                </w:tcPr>
                <w:p>
                  <w:pPr>
                    <w:pStyle w:val="50"/>
                    <w:adjustRightInd w:val="0"/>
                    <w:snapToGrid w:val="0"/>
                    <w:jc w:val="center"/>
                    <w:rPr>
                      <w:rFonts w:hint="default" w:eastAsia="宋体"/>
                      <w:lang w:val="en-US" w:eastAsia="zh-CN"/>
                    </w:rPr>
                  </w:pPr>
                  <w:r>
                    <w:rPr>
                      <w:rFonts w:hint="eastAsia" w:eastAsia="宋体"/>
                      <w:lang w:val="en-US" w:eastAsia="zh-CN"/>
                    </w:rPr>
                    <w:t>组分</w:t>
                  </w:r>
                </w:p>
              </w:tc>
              <w:tc>
                <w:tcPr>
                  <w:tcW w:w="591" w:type="pct"/>
                  <w:tcBorders>
                    <w:right w:val="single" w:color="auto" w:sz="4" w:space="0"/>
                  </w:tcBorders>
                  <w:noWrap w:val="0"/>
                  <w:vAlign w:val="center"/>
                </w:tcPr>
                <w:p>
                  <w:pPr>
                    <w:pStyle w:val="50"/>
                    <w:adjustRightInd w:val="0"/>
                    <w:snapToGrid w:val="0"/>
                    <w:jc w:val="center"/>
                    <w:rPr>
                      <w:rFonts w:hint="eastAsia" w:eastAsia="宋体"/>
                      <w:lang w:val="en-US" w:eastAsia="zh-CN"/>
                    </w:rPr>
                  </w:pPr>
                  <w:r>
                    <w:rPr>
                      <w:rFonts w:hint="eastAsia" w:eastAsia="宋体"/>
                      <w:lang w:val="en-US" w:eastAsia="zh-CN"/>
                    </w:rPr>
                    <w:t>年用量</w:t>
                  </w:r>
                </w:p>
              </w:tc>
              <w:tc>
                <w:tcPr>
                  <w:tcW w:w="392" w:type="pct"/>
                  <w:tcBorders>
                    <w:right w:val="single" w:color="auto" w:sz="4" w:space="0"/>
                  </w:tcBorders>
                  <w:noWrap w:val="0"/>
                  <w:vAlign w:val="center"/>
                </w:tcPr>
                <w:p>
                  <w:pPr>
                    <w:keepLines w:val="0"/>
                    <w:pageBreakBefore w:val="0"/>
                    <w:widowControl w:val="0"/>
                    <w:kinsoku/>
                    <w:wordWrap/>
                    <w:overflowPunct/>
                    <w:topLinePunct w:val="0"/>
                    <w:autoSpaceDE/>
                    <w:autoSpaceDN/>
                    <w:bidi w:val="0"/>
                    <w:adjustRightInd w:val="0"/>
                    <w:snapToGrid/>
                    <w:jc w:val="center"/>
                    <w:textAlignment w:val="auto"/>
                    <w:rPr>
                      <w:rFonts w:hint="eastAsia" w:eastAsia="宋体"/>
                      <w:lang w:val="en-US" w:eastAsia="zh-CN"/>
                    </w:rPr>
                  </w:pPr>
                  <w:r>
                    <w:rPr>
                      <w:rFonts w:hint="default" w:ascii="Times New Roman" w:hAnsi="Times New Roman" w:eastAsia="宋体" w:cs="Times New Roman"/>
                      <w:b/>
                      <w:bCs/>
                      <w:color w:val="000000"/>
                    </w:rPr>
                    <w:t>物料形态</w:t>
                  </w:r>
                </w:p>
              </w:tc>
              <w:tc>
                <w:tcPr>
                  <w:tcW w:w="392" w:type="pct"/>
                  <w:tcBorders>
                    <w:right w:val="single" w:color="auto" w:sz="4" w:space="0"/>
                  </w:tcBorders>
                  <w:noWrap w:val="0"/>
                  <w:vAlign w:val="center"/>
                </w:tcPr>
                <w:p>
                  <w:pPr>
                    <w:keepLines w:val="0"/>
                    <w:pageBreakBefore w:val="0"/>
                    <w:widowControl w:val="0"/>
                    <w:kinsoku/>
                    <w:wordWrap/>
                    <w:overflowPunct/>
                    <w:topLinePunct w:val="0"/>
                    <w:autoSpaceDE/>
                    <w:autoSpaceDN/>
                    <w:bidi w:val="0"/>
                    <w:adjustRightInd w:val="0"/>
                    <w:snapToGrid/>
                    <w:jc w:val="center"/>
                    <w:textAlignment w:val="auto"/>
                    <w:rPr>
                      <w:rFonts w:hint="eastAsia" w:eastAsia="宋体"/>
                      <w:lang w:val="en-US" w:eastAsia="zh-CN"/>
                    </w:rPr>
                  </w:pPr>
                  <w:r>
                    <w:rPr>
                      <w:rFonts w:hint="default" w:ascii="Times New Roman" w:hAnsi="Times New Roman" w:eastAsia="宋体" w:cs="Times New Roman"/>
                      <w:b/>
                      <w:bCs/>
                      <w:color w:val="000000"/>
                    </w:rPr>
                    <w:t>包装方式</w:t>
                  </w:r>
                </w:p>
              </w:tc>
              <w:tc>
                <w:tcPr>
                  <w:tcW w:w="449" w:type="pct"/>
                  <w:tcBorders>
                    <w:right w:val="single" w:color="auto" w:sz="4" w:space="0"/>
                  </w:tcBorders>
                  <w:noWrap w:val="0"/>
                  <w:vAlign w:val="center"/>
                </w:tcPr>
                <w:p>
                  <w:pPr>
                    <w:keepLines w:val="0"/>
                    <w:pageBreakBefore w:val="0"/>
                    <w:widowControl w:val="0"/>
                    <w:kinsoku/>
                    <w:wordWrap/>
                    <w:overflowPunct/>
                    <w:topLinePunct w:val="0"/>
                    <w:autoSpaceDE/>
                    <w:autoSpaceDN/>
                    <w:bidi w:val="0"/>
                    <w:adjustRightInd w:val="0"/>
                    <w:snapToGrid/>
                    <w:jc w:val="center"/>
                    <w:textAlignment w:val="auto"/>
                    <w:rPr>
                      <w:rFonts w:hint="eastAsia" w:eastAsia="宋体"/>
                      <w:lang w:val="en-US" w:eastAsia="zh-CN"/>
                    </w:rPr>
                  </w:pPr>
                  <w:r>
                    <w:rPr>
                      <w:rFonts w:hint="default" w:ascii="Times New Roman" w:hAnsi="Times New Roman" w:eastAsia="宋体" w:cs="Times New Roman"/>
                      <w:b/>
                      <w:bCs/>
                      <w:color w:val="000000"/>
                    </w:rPr>
                    <w:t>最大储存量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 w:type="pct"/>
                  <w:vMerge w:val="restart"/>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原料</w:t>
                  </w:r>
                </w:p>
              </w:tc>
              <w:tc>
                <w:tcPr>
                  <w:tcW w:w="249" w:type="pct"/>
                  <w:vMerge w:val="restart"/>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一次性使用活检钳配件</w:t>
                  </w: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FB-芯杆</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ABS</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100万个</w:t>
                  </w:r>
                </w:p>
              </w:tc>
              <w:tc>
                <w:tcPr>
                  <w:tcW w:w="392" w:type="pct"/>
                  <w:tcBorders>
                    <w:right w:val="single" w:color="auto" w:sz="4" w:space="0"/>
                  </w:tcBorders>
                  <w:noWrap w:val="0"/>
                  <w:vAlign w:val="center"/>
                </w:tcPr>
                <w:p>
                  <w:pPr>
                    <w:widowControl/>
                    <w:jc w:val="center"/>
                    <w:textAlignment w:val="center"/>
                    <w:rPr>
                      <w:rFonts w:hint="default"/>
                      <w:kern w:val="0"/>
                      <w:sz w:val="22"/>
                      <w:szCs w:val="22"/>
                      <w:lang w:val="en-US" w:eastAsia="zh-CN" w:bidi="ar"/>
                    </w:rPr>
                  </w:pPr>
                  <w:r>
                    <w:rPr>
                      <w:rFonts w:hint="eastAsia"/>
                      <w:kern w:val="0"/>
                      <w:sz w:val="22"/>
                      <w:szCs w:val="22"/>
                      <w:lang w:val="en-US" w:eastAsia="zh-CN" w:bidi="ar"/>
                    </w:rPr>
                    <w:t>固态</w:t>
                  </w:r>
                </w:p>
              </w:tc>
              <w:tc>
                <w:tcPr>
                  <w:tcW w:w="392" w:type="pct"/>
                  <w:tcBorders>
                    <w:right w:val="single" w:color="auto" w:sz="4" w:space="0"/>
                  </w:tcBorders>
                  <w:noWrap w:val="0"/>
                  <w:vAlign w:val="center"/>
                </w:tcPr>
                <w:p>
                  <w:pPr>
                    <w:widowControl/>
                    <w:jc w:val="center"/>
                    <w:textAlignment w:val="center"/>
                    <w:rPr>
                      <w:rFonts w:hint="default"/>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widowControl/>
                    <w:jc w:val="center"/>
                    <w:textAlignment w:val="center"/>
                    <w:rPr>
                      <w:rFonts w:hint="default"/>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 w:type="pct"/>
                  <w:vMerge w:val="continue"/>
                  <w:noWrap w:val="0"/>
                  <w:vAlign w:val="center"/>
                </w:tcPr>
                <w:p>
                  <w:pPr>
                    <w:pStyle w:val="51"/>
                    <w:adjustRightInd w:val="0"/>
                    <w:snapToGrid w:val="0"/>
                    <w:jc w:val="center"/>
                  </w:pPr>
                </w:p>
              </w:tc>
              <w:tc>
                <w:tcPr>
                  <w:tcW w:w="249" w:type="pct"/>
                  <w:vMerge w:val="continue"/>
                  <w:noWrap w:val="0"/>
                  <w:vAlign w:val="center"/>
                </w:tcPr>
                <w:p>
                  <w:pPr>
                    <w:pStyle w:val="51"/>
                    <w:adjustRightInd w:val="0"/>
                    <w:snapToGrid w:val="0"/>
                    <w:jc w:val="cente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FB-滑块</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ABS</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FB-压条</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ABS</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FB-定位块A</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ABS</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FB-定位块B</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ABS</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214" w:type="pct"/>
                  <w:vMerge w:val="continue"/>
                  <w:noWrap w:val="0"/>
                  <w:vAlign w:val="center"/>
                </w:tcPr>
                <w:p>
                  <w:pPr>
                    <w:pStyle w:val="51"/>
                    <w:adjustRightInd w:val="0"/>
                    <w:snapToGrid w:val="0"/>
                    <w:jc w:val="center"/>
                  </w:pPr>
                </w:p>
              </w:tc>
              <w:tc>
                <w:tcPr>
                  <w:tcW w:w="249" w:type="pct"/>
                  <w:vMerge w:val="continue"/>
                  <w:noWrap w:val="0"/>
                  <w:vAlign w:val="center"/>
                </w:tcPr>
                <w:p>
                  <w:pPr>
                    <w:pStyle w:val="51"/>
                    <w:adjustRightInd w:val="0"/>
                    <w:snapToGrid w:val="0"/>
                    <w:jc w:val="cente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FB-2.3定位管</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06Cr19Ni10</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FB-2.3助推管</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06Cr19Ni10</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FB-2.0弹簧定位铜套</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Cu</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FB-外弹簧管(2.0)</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06Cr19Ni10</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563" w:type="pct"/>
                  <w:vMerge w:val="restart"/>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拉索</w:t>
                  </w:r>
                  <w:r>
                    <w:rPr>
                      <w:rFonts w:hint="eastAsia" w:ascii="Times New Roman" w:hAnsi="Times New Roman" w:eastAsia="宋体" w:cs="Times New Roman"/>
                      <w:lang w:val="en-US" w:eastAsia="zh-CN"/>
                    </w:rPr>
                    <w:br w:type="textWrapping"/>
                  </w:r>
                  <w:r>
                    <w:rPr>
                      <w:rFonts w:hint="eastAsia" w:ascii="Times New Roman" w:hAnsi="Times New Roman" w:eastAsia="宋体" w:cs="Times New Roman"/>
                      <w:lang w:val="en-US" w:eastAsia="zh-CN"/>
                    </w:rPr>
                    <w:t>组件</w:t>
                  </w:r>
                </w:p>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(包塑）</w:t>
                  </w:r>
                </w:p>
              </w:tc>
              <w:tc>
                <w:tcPr>
                  <w:tcW w:w="905" w:type="pct"/>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FB-拉索</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06Cr19Ni10</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100万个</w:t>
                  </w:r>
                </w:p>
              </w:tc>
              <w:tc>
                <w:tcPr>
                  <w:tcW w:w="392"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箱装</w:t>
                  </w:r>
                </w:p>
              </w:tc>
              <w:tc>
                <w:tcPr>
                  <w:tcW w:w="449"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563"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905" w:type="pct"/>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FB-拉杆</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12Cr17Ni7</w:t>
                  </w:r>
                </w:p>
              </w:tc>
              <w:tc>
                <w:tcPr>
                  <w:tcW w:w="591"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100万个</w:t>
                  </w:r>
                </w:p>
              </w:tc>
              <w:tc>
                <w:tcPr>
                  <w:tcW w:w="392"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箱装</w:t>
                  </w:r>
                </w:p>
              </w:tc>
              <w:tc>
                <w:tcPr>
                  <w:tcW w:w="449"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563"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905" w:type="pct"/>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FB-2.3导向管</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06Cr19Ni10</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100万根</w:t>
                  </w:r>
                </w:p>
              </w:tc>
              <w:tc>
                <w:tcPr>
                  <w:tcW w:w="392"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钳头</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05Cr17Ni4Cu4Nb</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10万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FB-2.3垫片</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06Cr19Ni10</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FB-C2-2不带针钳头架</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06Cr17Ni12Mo2</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FB-D4钳头架</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06Cr17Ni12Mo2</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FB-长铆钉</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06Cr19Ni10</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FB-1.2短铆钉</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06Cr19Ni10</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FB-缺口连杆</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05Cr17Ni4Cu4Nb</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FB-2.3钳头护套</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TPE</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100万套</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外箱</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五层瓦楞纸</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0.1万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中盒</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单层纸板+白卡</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5万组</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0.5万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杜邦带</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1059B</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5万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restart"/>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一次性使用电圈套器配件</w:t>
                  </w: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SD-φ0.40钢丝绳（硬）</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1*7-φ0.4</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30万根</w:t>
                  </w:r>
                </w:p>
              </w:tc>
              <w:tc>
                <w:tcPr>
                  <w:tcW w:w="392" w:type="pct"/>
                  <w:tcBorders>
                    <w:right w:val="single" w:color="auto" w:sz="4" w:space="0"/>
                  </w:tcBorders>
                  <w:noWrap w:val="0"/>
                  <w:vAlign w:val="center"/>
                </w:tcPr>
                <w:p>
                  <w:pPr>
                    <w:widowControl/>
                    <w:jc w:val="center"/>
                    <w:textAlignment w:val="center"/>
                    <w:rPr>
                      <w:rFonts w:hint="default"/>
                      <w:kern w:val="0"/>
                      <w:sz w:val="22"/>
                      <w:szCs w:val="22"/>
                      <w:lang w:val="en-US" w:eastAsia="zh-CN" w:bidi="ar"/>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widowControl/>
                    <w:jc w:val="center"/>
                    <w:textAlignment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widowControl/>
                    <w:jc w:val="center"/>
                    <w:textAlignment w:val="center"/>
                    <w:rPr>
                      <w:rFonts w:hint="default"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14" w:type="pct"/>
                  <w:vMerge w:val="continue"/>
                  <w:noWrap w:val="0"/>
                  <w:vAlign w:val="center"/>
                </w:tcPr>
                <w:p>
                  <w:pPr>
                    <w:pStyle w:val="51"/>
                    <w:adjustRightInd w:val="0"/>
                    <w:snapToGrid w:val="0"/>
                    <w:jc w:val="center"/>
                  </w:pPr>
                </w:p>
              </w:tc>
              <w:tc>
                <w:tcPr>
                  <w:tcW w:w="249" w:type="pct"/>
                  <w:vMerge w:val="continue"/>
                  <w:noWrap w:val="0"/>
                  <w:vAlign w:val="center"/>
                </w:tcPr>
                <w:p>
                  <w:pPr>
                    <w:pStyle w:val="51"/>
                    <w:adjustRightInd w:val="0"/>
                    <w:snapToGrid w:val="0"/>
                    <w:jc w:val="cente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SD-φ0.40钢丝绳（软）</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1*7-φ0.4</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SD-φ0.47钢丝绳</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3*3-φ0.47</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SD-φ0.36钢丝绳</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1*6-φ0.36</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SD-对接管（2.3型新）</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φ1.35*φ1.05*8</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8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SD-对接管（1.8型）</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φ1.0*φ0.76*8</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SD-拉索（2.3型）</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1*19-φ0.92</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0.6镍钛丝</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NiTi</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SD-拉索 （1.8型）</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1*7-φ0.7</w:t>
                  </w:r>
                </w:p>
              </w:tc>
              <w:tc>
                <w:tcPr>
                  <w:tcW w:w="591"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SD-外管（2.3型硬）</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φ2.4*φ1.55*2500</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SD-外管 （2.3型）</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φ2.35*1.65*2500</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SD-外管（1.8*1.4）</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φ1.8*φ1.4</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jc w:val="center"/>
              </w:trPr>
              <w:tc>
                <w:tcPr>
                  <w:tcW w:w="214" w:type="pct"/>
                  <w:vMerge w:val="continue"/>
                  <w:noWrap w:val="0"/>
                  <w:vAlign w:val="center"/>
                </w:tcPr>
                <w:p>
                  <w:pPr>
                    <w:pStyle w:val="51"/>
                    <w:adjustRightInd w:val="0"/>
                    <w:snapToGrid w:val="0"/>
                    <w:jc w:val="center"/>
                  </w:pPr>
                </w:p>
              </w:tc>
              <w:tc>
                <w:tcPr>
                  <w:tcW w:w="249" w:type="pct"/>
                  <w:vMerge w:val="continue"/>
                  <w:noWrap w:val="0"/>
                  <w:vAlign w:val="center"/>
                </w:tcPr>
                <w:p>
                  <w:pPr>
                    <w:pStyle w:val="51"/>
                    <w:adjustRightInd w:val="0"/>
                    <w:snapToGrid w:val="0"/>
                    <w:jc w:val="cente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SD-PE管</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φ1.45*φ0.75</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SD-护套管</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φ5*φ4*100</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SD-旋转套</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阻燃ABS 蓝色</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SD-固定套</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阻燃ABS 蓝色</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SD-芯杆限位块</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阻燃ABS 蓝色</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SD-滑环</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阻燃ABS 蓝色</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SD-短手柄丝印</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阻燃ABS 蓝色</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SD-长手柄丝印</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阻燃ABS 蓝色</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pPr>
                </w:p>
              </w:tc>
              <w:tc>
                <w:tcPr>
                  <w:tcW w:w="249" w:type="pct"/>
                  <w:vMerge w:val="continue"/>
                  <w:noWrap w:val="0"/>
                  <w:vAlign w:val="center"/>
                </w:tcPr>
                <w:p>
                  <w:pPr>
                    <w:pStyle w:val="51"/>
                    <w:adjustRightInd w:val="0"/>
                    <w:snapToGrid w:val="0"/>
                    <w:jc w:val="cente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SD-长铜套（2.3型）</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黄铜H62</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SD-长铜套（1.8型）</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黄铜H62</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SD-电极插头</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黄铜-表面镀镍</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SD-助推管固定座</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黄铜-表面镀镍</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SD-M3紧定螺钉</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SUS304</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SD-橡胶塞</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硅橡胶  黑色</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SD-助推管（1.8型长）</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φ1.0*φ0.76*200</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SD-助推管（1.8型短）</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φ1.0*φ0.76*200</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SD-助推管（2.3型长）</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φ1.3*φ1.0*200</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SD-助推管（ 2.3型短）</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φ1.3*φ1.0*160</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小包装</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PE膜+1059B杜邦袋</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30万组</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中包装</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白板纸</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6万组</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0.6万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外包装</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五层瓦楞纸</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1万组</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2"/>
                      <w:szCs w:val="22"/>
                      <w:lang w:val="en-US" w:eastAsia="zh-CN" w:bidi="ar"/>
                    </w:rPr>
                    <w:t>0.1万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标签</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铜版纸</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2万张</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合格证</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普通A4纸</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30万张</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灭菌指示标签</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铜版纸+变色油墨</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30万张</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restart"/>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一次性使用注射针配件</w:t>
                  </w: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IN-针头（粗化）</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06Cr19Ni10</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20万个</w:t>
                  </w:r>
                </w:p>
              </w:tc>
              <w:tc>
                <w:tcPr>
                  <w:tcW w:w="392" w:type="pct"/>
                  <w:tcBorders>
                    <w:right w:val="single" w:color="auto" w:sz="4" w:space="0"/>
                  </w:tcBorders>
                  <w:noWrap w:val="0"/>
                  <w:vAlign w:val="center"/>
                </w:tcPr>
                <w:p>
                  <w:pPr>
                    <w:widowControl/>
                    <w:jc w:val="center"/>
                    <w:textAlignment w:val="center"/>
                    <w:rPr>
                      <w:rFonts w:hint="default"/>
                      <w:kern w:val="0"/>
                      <w:sz w:val="22"/>
                      <w:szCs w:val="22"/>
                      <w:lang w:val="en-US" w:eastAsia="zh-CN" w:bidi="ar"/>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widowControl/>
                    <w:jc w:val="center"/>
                    <w:textAlignment w:val="center"/>
                    <w:rPr>
                      <w:rFonts w:hint="eastAsia"/>
                      <w:kern w:val="0"/>
                      <w:sz w:val="22"/>
                      <w:szCs w:val="22"/>
                      <w:lang w:val="en-US" w:eastAsia="zh-CN" w:bidi="ar"/>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widowControl/>
                    <w:jc w:val="center"/>
                    <w:textAlignment w:val="center"/>
                    <w:rPr>
                      <w:rFonts w:hint="default"/>
                      <w:kern w:val="0"/>
                      <w:sz w:val="22"/>
                      <w:szCs w:val="22"/>
                      <w:lang w:val="en-US" w:eastAsia="zh-CN" w:bidi="ar"/>
                    </w:rPr>
                  </w:pPr>
                  <w:r>
                    <w:rPr>
                      <w:rFonts w:hint="eastAsia"/>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4" w:type="pct"/>
                  <w:vMerge w:val="continue"/>
                  <w:noWrap w:val="0"/>
                  <w:vAlign w:val="center"/>
                </w:tcPr>
                <w:p>
                  <w:pPr>
                    <w:pStyle w:val="51"/>
                    <w:adjustRightInd w:val="0"/>
                    <w:snapToGrid w:val="0"/>
                    <w:jc w:val="center"/>
                  </w:pPr>
                </w:p>
              </w:tc>
              <w:tc>
                <w:tcPr>
                  <w:tcW w:w="249" w:type="pct"/>
                  <w:vMerge w:val="continue"/>
                  <w:noWrap w:val="0"/>
                  <w:vAlign w:val="center"/>
                </w:tcPr>
                <w:p>
                  <w:pPr>
                    <w:pStyle w:val="51"/>
                    <w:adjustRightInd w:val="0"/>
                    <w:snapToGrid w:val="0"/>
                    <w:jc w:val="cente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IN-1.8导引头（24G）</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Y12Cr18Ni9</w:t>
                  </w:r>
                </w:p>
              </w:tc>
              <w:tc>
                <w:tcPr>
                  <w:tcW w:w="591"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IN-内管（1.8-24G）</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PTFE（蓝色/透明）</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SD-外管（1.8*1.4）</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PTFE</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IN-助推管（扁圆手柄）</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06Cr19Ni10</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BAS-护套管</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软质PEBAX</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20万根</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IN-扁圆前手柄</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ABS</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IN-扁圆前手柄盖</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ABS</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IN-扁圆后手柄</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ABS</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SD-外管（2.3型硬）</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PTFE</w:t>
                  </w:r>
                </w:p>
              </w:tc>
              <w:tc>
                <w:tcPr>
                  <w:tcW w:w="591"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SD-小包装</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杜邦袋</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20万个</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2万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IN-中包装</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白纸板</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0.5万张</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0.1万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IN-外包装</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五层瓦楞纸</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1万组</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0.1万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4"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249" w:type="pct"/>
                  <w:vMerge w:val="continue"/>
                  <w:noWrap w:val="0"/>
                  <w:vAlign w:val="center"/>
                </w:tcPr>
                <w:p>
                  <w:pPr>
                    <w:pStyle w:val="51"/>
                    <w:adjustRightInd w:val="0"/>
                    <w:snapToGrid w:val="0"/>
                    <w:jc w:val="center"/>
                    <w:rPr>
                      <w:rFonts w:hint="eastAsia" w:ascii="Times New Roman" w:hAnsi="Times New Roman" w:eastAsia="宋体" w:cs="Times New Roman"/>
                      <w:lang w:val="en-US" w:eastAsia="zh-CN"/>
                    </w:rPr>
                  </w:pPr>
                </w:p>
              </w:tc>
              <w:tc>
                <w:tcPr>
                  <w:tcW w:w="1469" w:type="pct"/>
                  <w:gridSpan w:val="2"/>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常规标签</w:t>
                  </w:r>
                </w:p>
              </w:tc>
              <w:tc>
                <w:tcPr>
                  <w:tcW w:w="1240"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铜版纸</w:t>
                  </w:r>
                </w:p>
              </w:tc>
              <w:tc>
                <w:tcPr>
                  <w:tcW w:w="591" w:type="pct"/>
                  <w:tcBorders>
                    <w:right w:val="single" w:color="auto" w:sz="4" w:space="0"/>
                  </w:tcBorders>
                  <w:noWrap w:val="0"/>
                  <w:vAlign w:val="center"/>
                </w:tcPr>
                <w:p>
                  <w:pPr>
                    <w:pStyle w:val="51"/>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0.5万张</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392" w:type="pct"/>
                  <w:tcBorders>
                    <w:right w:val="single" w:color="auto" w:sz="4" w:space="0"/>
                  </w:tcBorders>
                  <w:noWrap w:val="0"/>
                  <w:vAlign w:val="center"/>
                </w:tcPr>
                <w:p>
                  <w:pPr>
                    <w:adjustRightInd w:val="0"/>
                    <w:snapToGrid w:val="0"/>
                    <w:jc w:val="center"/>
                    <w:rPr>
                      <w:rFonts w:hint="eastAsia" w:ascii="Times New Roman" w:hAnsi="Times New Roman" w:eastAsia="宋体" w:cs="Times New Roman"/>
                      <w:lang w:val="en-US" w:eastAsia="zh-CN"/>
                    </w:rPr>
                  </w:pPr>
                  <w:r>
                    <w:rPr>
                      <w:rFonts w:hint="eastAsia"/>
                      <w:kern w:val="0"/>
                      <w:sz w:val="22"/>
                      <w:szCs w:val="22"/>
                      <w:lang w:val="en-US" w:eastAsia="zh-CN" w:bidi="ar"/>
                    </w:rPr>
                    <w:t>箱装</w:t>
                  </w:r>
                </w:p>
              </w:tc>
              <w:tc>
                <w:tcPr>
                  <w:tcW w:w="449"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0.1万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4" w:type="pct"/>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辅料</w:t>
                  </w:r>
                </w:p>
              </w:tc>
              <w:tc>
                <w:tcPr>
                  <w:tcW w:w="1718" w:type="pct"/>
                  <w:gridSpan w:val="3"/>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氮气瓶</w:t>
                  </w:r>
                </w:p>
              </w:tc>
              <w:tc>
                <w:tcPr>
                  <w:tcW w:w="1240" w:type="pct"/>
                  <w:tcBorders>
                    <w:right w:val="single" w:color="auto" w:sz="4" w:space="0"/>
                  </w:tcBorders>
                  <w:noWrap w:val="0"/>
                  <w:vAlign w:val="center"/>
                </w:tcPr>
                <w:p>
                  <w:pPr>
                    <w:widowControl/>
                    <w:jc w:val="center"/>
                    <w:textAlignment w:val="center"/>
                    <w:rPr>
                      <w:rFonts w:hint="default"/>
                      <w:kern w:val="0"/>
                      <w:sz w:val="22"/>
                      <w:szCs w:val="22"/>
                      <w:lang w:val="en-US" w:eastAsia="zh-CN" w:bidi="ar"/>
                    </w:rPr>
                  </w:pPr>
                  <w:r>
                    <w:rPr>
                      <w:rFonts w:hint="eastAsia"/>
                      <w:kern w:val="0"/>
                      <w:sz w:val="22"/>
                      <w:szCs w:val="22"/>
                      <w:lang w:val="en-US" w:eastAsia="zh-CN" w:bidi="ar"/>
                    </w:rPr>
                    <w:t>氮气（40L/瓶）</w:t>
                  </w:r>
                </w:p>
              </w:tc>
              <w:tc>
                <w:tcPr>
                  <w:tcW w:w="591" w:type="pct"/>
                  <w:tcBorders>
                    <w:right w:val="single" w:color="auto" w:sz="4" w:space="0"/>
                  </w:tcBorders>
                  <w:noWrap w:val="0"/>
                  <w:vAlign w:val="center"/>
                </w:tcPr>
                <w:p>
                  <w:pPr>
                    <w:pStyle w:val="51"/>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2m</w:t>
                  </w:r>
                  <w:r>
                    <w:rPr>
                      <w:rFonts w:hint="eastAsia" w:ascii="Times New Roman" w:hAnsi="Times New Roman" w:eastAsia="宋体" w:cs="Times New Roman"/>
                      <w:vertAlign w:val="superscript"/>
                      <w:lang w:val="en-US" w:eastAsia="zh-CN"/>
                    </w:rPr>
                    <w:t>3</w:t>
                  </w:r>
                </w:p>
              </w:tc>
              <w:tc>
                <w:tcPr>
                  <w:tcW w:w="392" w:type="pct"/>
                  <w:tcBorders>
                    <w:right w:val="single" w:color="auto" w:sz="4" w:space="0"/>
                  </w:tcBorders>
                  <w:noWrap w:val="0"/>
                  <w:vAlign w:val="center"/>
                </w:tcPr>
                <w:p>
                  <w:pPr>
                    <w:widowControl/>
                    <w:jc w:val="center"/>
                    <w:textAlignment w:val="center"/>
                    <w:rPr>
                      <w:rFonts w:hint="default"/>
                      <w:kern w:val="0"/>
                      <w:sz w:val="22"/>
                      <w:szCs w:val="22"/>
                      <w:lang w:val="en-US" w:eastAsia="zh-CN" w:bidi="ar"/>
                    </w:rPr>
                  </w:pPr>
                  <w:r>
                    <w:rPr>
                      <w:rFonts w:hint="eastAsia"/>
                      <w:kern w:val="0"/>
                      <w:sz w:val="22"/>
                      <w:szCs w:val="22"/>
                      <w:lang w:val="en-US" w:eastAsia="zh-CN" w:bidi="ar"/>
                    </w:rPr>
                    <w:t>气态</w:t>
                  </w:r>
                </w:p>
              </w:tc>
              <w:tc>
                <w:tcPr>
                  <w:tcW w:w="392" w:type="pct"/>
                  <w:tcBorders>
                    <w:right w:val="single" w:color="auto" w:sz="4" w:space="0"/>
                  </w:tcBorders>
                  <w:noWrap w:val="0"/>
                  <w:vAlign w:val="center"/>
                </w:tcPr>
                <w:p>
                  <w:pPr>
                    <w:widowControl/>
                    <w:jc w:val="center"/>
                    <w:textAlignment w:val="center"/>
                    <w:rPr>
                      <w:rFonts w:hint="default"/>
                      <w:kern w:val="0"/>
                      <w:sz w:val="22"/>
                      <w:szCs w:val="22"/>
                      <w:lang w:val="en-US" w:eastAsia="zh-CN" w:bidi="ar"/>
                    </w:rPr>
                  </w:pPr>
                  <w:r>
                    <w:rPr>
                      <w:rFonts w:hint="eastAsia"/>
                      <w:kern w:val="0"/>
                      <w:sz w:val="22"/>
                      <w:szCs w:val="22"/>
                      <w:lang w:val="en-US" w:eastAsia="zh-CN" w:bidi="ar"/>
                    </w:rPr>
                    <w:t>瓶装</w:t>
                  </w:r>
                </w:p>
              </w:tc>
              <w:tc>
                <w:tcPr>
                  <w:tcW w:w="449" w:type="pct"/>
                  <w:tcBorders>
                    <w:right w:val="single" w:color="auto" w:sz="4" w:space="0"/>
                  </w:tcBorders>
                  <w:noWrap w:val="0"/>
                  <w:vAlign w:val="center"/>
                </w:tcPr>
                <w:p>
                  <w:pPr>
                    <w:widowControl/>
                    <w:jc w:val="center"/>
                    <w:textAlignment w:val="center"/>
                    <w:rPr>
                      <w:rFonts w:hint="default"/>
                      <w:kern w:val="0"/>
                      <w:sz w:val="22"/>
                      <w:szCs w:val="22"/>
                      <w:lang w:val="en-US" w:eastAsia="zh-CN" w:bidi="ar"/>
                    </w:rPr>
                  </w:pPr>
                  <w:r>
                    <w:rPr>
                      <w:rFonts w:hint="eastAsia"/>
                      <w:kern w:val="0"/>
                      <w:sz w:val="22"/>
                      <w:szCs w:val="22"/>
                      <w:lang w:val="en-US" w:eastAsia="zh-CN" w:bidi="ar"/>
                    </w:rPr>
                    <w:t>10瓶</w:t>
                  </w:r>
                </w:p>
              </w:tc>
            </w:tr>
          </w:tbl>
          <w:p>
            <w:pPr>
              <w:pStyle w:val="35"/>
              <w:spacing w:before="0" w:beforeLines="0" w:after="0" w:afterLines="0"/>
              <w:jc w:val="both"/>
              <w:rPr>
                <w:rFonts w:eastAsia="宋体"/>
              </w:rPr>
            </w:pPr>
            <w:r>
              <w:rPr>
                <w:rFonts w:hint="eastAsia" w:eastAsia="宋体"/>
                <w:sz w:val="21"/>
                <w:szCs w:val="21"/>
              </w:rPr>
              <w:t>注*：项目用原材料</w:t>
            </w:r>
            <w:r>
              <w:rPr>
                <w:rFonts w:hint="eastAsia" w:eastAsia="宋体"/>
                <w:sz w:val="21"/>
                <w:szCs w:val="21"/>
                <w:lang w:val="en-US" w:eastAsia="zh-CN"/>
              </w:rPr>
              <w:t>均为外购且外购产品已达清洁标准</w:t>
            </w:r>
            <w:r>
              <w:rPr>
                <w:rFonts w:hint="eastAsia" w:eastAsia="宋体"/>
                <w:sz w:val="21"/>
                <w:szCs w:val="21"/>
              </w:rPr>
              <w:t>。</w:t>
            </w:r>
          </w:p>
          <w:p>
            <w:pPr>
              <w:pStyle w:val="35"/>
              <w:adjustRightInd w:val="0"/>
              <w:snapToGrid w:val="0"/>
              <w:spacing w:before="120" w:beforeLines="50" w:after="0" w:afterLines="0"/>
              <w:rPr>
                <w:rFonts w:eastAsia="宋体"/>
              </w:rPr>
            </w:pPr>
            <w:r>
              <w:rPr>
                <w:rFonts w:eastAsia="宋体"/>
              </w:rPr>
              <w:t>表2-</w:t>
            </w:r>
            <w:r>
              <w:rPr>
                <w:rFonts w:hint="eastAsia" w:eastAsia="宋体"/>
              </w:rPr>
              <w:t>5</w:t>
            </w:r>
            <w:r>
              <w:rPr>
                <w:rFonts w:eastAsia="宋体"/>
              </w:rPr>
              <w:t xml:space="preserve"> </w:t>
            </w:r>
            <w:r>
              <w:rPr>
                <w:rFonts w:hint="eastAsia" w:eastAsia="宋体"/>
              </w:rPr>
              <w:t xml:space="preserve"> 项目原辅材料理化性质表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5160"/>
              <w:gridCol w:w="936"/>
              <w:gridCol w:w="6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4" w:type="pct"/>
                  <w:noWrap w:val="0"/>
                  <w:vAlign w:val="center"/>
                </w:tcPr>
                <w:p>
                  <w:pPr>
                    <w:pStyle w:val="50"/>
                    <w:adjustRightInd w:val="0"/>
                    <w:snapToGrid w:val="0"/>
                    <w:jc w:val="center"/>
                    <w:rPr>
                      <w:rFonts w:eastAsia="宋体"/>
                    </w:rPr>
                  </w:pPr>
                  <w:r>
                    <w:rPr>
                      <w:rFonts w:eastAsia="宋体"/>
                    </w:rPr>
                    <w:t>原料名称</w:t>
                  </w:r>
                </w:p>
              </w:tc>
              <w:tc>
                <w:tcPr>
                  <w:tcW w:w="3068" w:type="pct"/>
                  <w:noWrap w:val="0"/>
                  <w:vAlign w:val="center"/>
                </w:tcPr>
                <w:p>
                  <w:pPr>
                    <w:pStyle w:val="50"/>
                    <w:adjustRightInd w:val="0"/>
                    <w:snapToGrid w:val="0"/>
                    <w:jc w:val="center"/>
                    <w:rPr>
                      <w:rFonts w:eastAsia="宋体"/>
                    </w:rPr>
                  </w:pPr>
                  <w:r>
                    <w:rPr>
                      <w:rFonts w:eastAsia="宋体"/>
                    </w:rPr>
                    <w:t>理化特性</w:t>
                  </w:r>
                </w:p>
              </w:tc>
              <w:tc>
                <w:tcPr>
                  <w:tcW w:w="556" w:type="pct"/>
                  <w:noWrap w:val="0"/>
                  <w:vAlign w:val="center"/>
                </w:tcPr>
                <w:p>
                  <w:pPr>
                    <w:pStyle w:val="50"/>
                    <w:adjustRightInd w:val="0"/>
                    <w:snapToGrid w:val="0"/>
                    <w:jc w:val="center"/>
                    <w:rPr>
                      <w:rFonts w:hint="default" w:eastAsia="宋体"/>
                      <w:lang w:val="en-US" w:eastAsia="zh-CN"/>
                    </w:rPr>
                  </w:pPr>
                  <w:r>
                    <w:rPr>
                      <w:rFonts w:hint="eastAsia" w:eastAsia="宋体"/>
                      <w:lang w:val="en-US" w:eastAsia="zh-CN"/>
                    </w:rPr>
                    <w:t>易燃易爆炸</w:t>
                  </w:r>
                </w:p>
              </w:tc>
              <w:tc>
                <w:tcPr>
                  <w:tcW w:w="381" w:type="pct"/>
                  <w:noWrap w:val="0"/>
                  <w:vAlign w:val="center"/>
                </w:tcPr>
                <w:p>
                  <w:pPr>
                    <w:pStyle w:val="50"/>
                    <w:adjustRightInd w:val="0"/>
                    <w:snapToGrid w:val="0"/>
                    <w:jc w:val="center"/>
                    <w:rPr>
                      <w:rFonts w:eastAsia="宋体"/>
                    </w:rPr>
                  </w:pPr>
                  <w:r>
                    <w:rPr>
                      <w:rFonts w:eastAsia="宋体"/>
                    </w:rPr>
                    <w:t>毒性毒理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4" w:type="pct"/>
                  <w:noWrap w:val="0"/>
                  <w:vAlign w:val="center"/>
                </w:tcPr>
                <w:p>
                  <w:pPr>
                    <w:pStyle w:val="18"/>
                    <w:adjustRightInd w:val="0"/>
                    <w:snapToGrid w:val="0"/>
                    <w:ind w:left="0" w:firstLine="0" w:firstLineChars="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ABS</w:t>
                  </w:r>
                </w:p>
              </w:tc>
              <w:tc>
                <w:tcPr>
                  <w:tcW w:w="3068" w:type="pct"/>
                  <w:noWrap w:val="0"/>
                  <w:vAlign w:val="center"/>
                </w:tcPr>
                <w:p>
                  <w:pPr>
                    <w:pStyle w:val="18"/>
                    <w:adjustRightInd w:val="0"/>
                    <w:snapToGrid w:val="0"/>
                    <w:ind w:left="0" w:firstLine="0" w:firstLineChars="0"/>
                    <w:jc w:val="left"/>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Acrylonitrile butadiene Styrene copolymers，简称ABS。ABS树脂是丙烯腈、1, 3-丁二烯、苯乙烯的三元共聚物。 是一种强度高、韧性好、易于加工成型的热塑型高分子材料结构。可以在-25℃~60℃的环境下表现正常，而且有很好的成型性，加工出的产品表面光洁，易于染色和电镀。ABS树脂是微黄色固体，有一定的韧性，密度约为1.04~1.06g/cm</w:t>
                  </w:r>
                  <w:r>
                    <w:rPr>
                      <w:rFonts w:hint="default" w:ascii="Times New Roman" w:hAnsi="Times New Roman" w:eastAsia="宋体" w:cs="Times New Roman"/>
                      <w:kern w:val="0"/>
                      <w:szCs w:val="21"/>
                      <w:vertAlign w:val="superscript"/>
                      <w:lang w:val="en-US" w:eastAsia="zh-CN"/>
                    </w:rPr>
                    <w:t>3</w:t>
                  </w:r>
                  <w:r>
                    <w:rPr>
                      <w:rFonts w:hint="default" w:ascii="Times New Roman" w:hAnsi="Times New Roman" w:eastAsia="宋体" w:cs="Times New Roman"/>
                      <w:kern w:val="0"/>
                      <w:szCs w:val="21"/>
                      <w:lang w:val="en-US" w:eastAsia="zh-CN"/>
                    </w:rPr>
                    <w:t>。它抗酸、碱、盐的腐蚀能力比较强，也可在一定程度上耐受有机溶剂溶解。</w:t>
                  </w:r>
                </w:p>
              </w:tc>
              <w:tc>
                <w:tcPr>
                  <w:tcW w:w="556" w:type="pct"/>
                  <w:noWrap w:val="0"/>
                  <w:vAlign w:val="center"/>
                </w:tcPr>
                <w:p>
                  <w:pPr>
                    <w:pStyle w:val="18"/>
                    <w:adjustRightInd w:val="0"/>
                    <w:snapToGrid w:val="0"/>
                    <w:ind w:left="0" w:firstLine="0" w:firstLineChars="0"/>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w:t>
                  </w:r>
                </w:p>
              </w:tc>
              <w:tc>
                <w:tcPr>
                  <w:tcW w:w="381" w:type="pct"/>
                  <w:noWrap w:val="0"/>
                  <w:vAlign w:val="center"/>
                </w:tcPr>
                <w:p>
                  <w:pPr>
                    <w:pStyle w:val="18"/>
                    <w:adjustRightInd w:val="0"/>
                    <w:snapToGrid w:val="0"/>
                    <w:ind w:left="0" w:firstLine="0" w:firstLineChars="0"/>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4" w:type="pct"/>
                  <w:noWrap w:val="0"/>
                  <w:vAlign w:val="center"/>
                </w:tcPr>
                <w:p>
                  <w:pPr>
                    <w:pStyle w:val="18"/>
                    <w:adjustRightInd w:val="0"/>
                    <w:snapToGrid w:val="0"/>
                    <w:ind w:left="0" w:firstLine="0" w:firstLineChars="0"/>
                    <w:jc w:val="center"/>
                    <w:rPr>
                      <w:rFonts w:hint="default" w:ascii="Times New Roman" w:hAnsi="Times New Roman" w:eastAsia="宋体" w:cs="Times New Roman"/>
                      <w:kern w:val="0"/>
                      <w:szCs w:val="21"/>
                      <w:lang w:val="en-US" w:eastAsia="zh-CN"/>
                    </w:rPr>
                  </w:pPr>
                  <w:bookmarkStart w:id="3" w:name="_Toc71671770"/>
                  <w:r>
                    <w:rPr>
                      <w:rFonts w:hint="default" w:ascii="Times New Roman" w:hAnsi="Times New Roman" w:eastAsia="宋体" w:cs="Times New Roman"/>
                      <w:kern w:val="0"/>
                      <w:szCs w:val="21"/>
                      <w:lang w:val="en-US" w:eastAsia="zh-CN"/>
                    </w:rPr>
                    <w:t>氮气</w:t>
                  </w:r>
                </w:p>
              </w:tc>
              <w:tc>
                <w:tcPr>
                  <w:tcW w:w="3068" w:type="pct"/>
                  <w:noWrap w:val="0"/>
                  <w:vAlign w:val="center"/>
                </w:tcPr>
                <w:p>
                  <w:pPr>
                    <w:pStyle w:val="18"/>
                    <w:adjustRightInd w:val="0"/>
                    <w:snapToGrid w:val="0"/>
                    <w:ind w:left="0" w:firstLine="0" w:firstLineChars="0"/>
                    <w:jc w:val="left"/>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N</w:t>
                  </w:r>
                  <w:r>
                    <w:rPr>
                      <w:rFonts w:hint="default" w:ascii="Times New Roman" w:hAnsi="Times New Roman" w:eastAsia="宋体" w:cs="Times New Roman"/>
                      <w:kern w:val="0"/>
                      <w:szCs w:val="21"/>
                      <w:vertAlign w:val="subscript"/>
                      <w:lang w:val="en-US" w:eastAsia="zh-CN"/>
                    </w:rPr>
                    <w:t>2</w:t>
                  </w:r>
                  <w:r>
                    <w:rPr>
                      <w:rFonts w:hint="default" w:ascii="Times New Roman" w:hAnsi="Times New Roman" w:eastAsia="宋体" w:cs="Times New Roman"/>
                      <w:kern w:val="0"/>
                      <w:szCs w:val="21"/>
                      <w:lang w:val="en-US" w:eastAsia="zh-CN"/>
                    </w:rPr>
                    <w:t>，分子量28。氮气在常况下是一种无色无味的气体，且通常无毒。氮气占空气总量的78.12% (体积分数)，在标准情况下的气体密度是1.25g/L，氮气难溶于水，在常温常压下，1体积水中大约只溶解0.02体积的氮气。氮气是难液化的气体。氮气在极低温下会液化成无色液体，进一步降低温度时，更会形成白色晶状固体。在生产中，通常采用黑色钢瓶盛放氮气。</w:t>
                  </w:r>
                </w:p>
              </w:tc>
              <w:tc>
                <w:tcPr>
                  <w:tcW w:w="556" w:type="pct"/>
                  <w:noWrap w:val="0"/>
                  <w:vAlign w:val="center"/>
                </w:tcPr>
                <w:p>
                  <w:pPr>
                    <w:pStyle w:val="18"/>
                    <w:adjustRightInd w:val="0"/>
                    <w:snapToGrid w:val="0"/>
                    <w:ind w:left="0" w:firstLine="0" w:firstLineChars="0"/>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w:t>
                  </w:r>
                </w:p>
              </w:tc>
              <w:tc>
                <w:tcPr>
                  <w:tcW w:w="381" w:type="pct"/>
                  <w:noWrap w:val="0"/>
                  <w:vAlign w:val="center"/>
                </w:tcPr>
                <w:p>
                  <w:pPr>
                    <w:pStyle w:val="18"/>
                    <w:adjustRightInd w:val="0"/>
                    <w:snapToGrid w:val="0"/>
                    <w:ind w:left="0" w:firstLine="0" w:firstLineChars="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4" w:type="pct"/>
                  <w:noWrap w:val="0"/>
                  <w:vAlign w:val="center"/>
                </w:tcPr>
                <w:p>
                  <w:pPr>
                    <w:pStyle w:val="18"/>
                    <w:adjustRightInd w:val="0"/>
                    <w:snapToGrid w:val="0"/>
                    <w:ind w:left="0" w:firstLine="0" w:firstLineChars="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PTFE</w:t>
                  </w:r>
                </w:p>
                <w:p>
                  <w:pPr>
                    <w:pStyle w:val="18"/>
                    <w:adjustRightInd w:val="0"/>
                    <w:snapToGrid w:val="0"/>
                    <w:ind w:left="0" w:firstLine="0" w:firstLineChars="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（聚四氟乙烯）</w:t>
                  </w:r>
                </w:p>
              </w:tc>
              <w:tc>
                <w:tcPr>
                  <w:tcW w:w="3068" w:type="pct"/>
                  <w:noWrap w:val="0"/>
                  <w:vAlign w:val="center"/>
                </w:tcPr>
                <w:p>
                  <w:pPr>
                    <w:pStyle w:val="18"/>
                    <w:adjustRightInd w:val="0"/>
                    <w:snapToGrid w:val="0"/>
                    <w:ind w:left="0" w:firstLine="0" w:firstLineChars="0"/>
                    <w:jc w:val="left"/>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PTFE是一种以</w:t>
                  </w:r>
                  <w:r>
                    <w:rPr>
                      <w:rFonts w:hint="default" w:ascii="Times New Roman" w:hAnsi="Times New Roman" w:eastAsia="宋体" w:cs="Times New Roman"/>
                      <w:kern w:val="0"/>
                      <w:szCs w:val="21"/>
                      <w:lang w:val="en-US" w:eastAsia="zh-CN"/>
                    </w:rPr>
                    <w:fldChar w:fldCharType="begin"/>
                  </w:r>
                  <w:r>
                    <w:rPr>
                      <w:rFonts w:hint="default" w:ascii="Times New Roman" w:hAnsi="Times New Roman" w:eastAsia="宋体" w:cs="Times New Roman"/>
                      <w:kern w:val="0"/>
                      <w:szCs w:val="21"/>
                      <w:lang w:val="en-US" w:eastAsia="zh-CN"/>
                    </w:rPr>
                    <w:instrText xml:space="preserve"> HYPERLINK "https://baike.baidu.com/item/%E5%9B%9B%E6%B0%9F%E4%B9%99%E7%83%AF/2516253" \t "https://baike.baidu.com/item/%E8%81%9A%E5%9B%9B%E6%B0%9F%E4%B9%99%E7%83%AF/_blank" </w:instrText>
                  </w:r>
                  <w:r>
                    <w:rPr>
                      <w:rFonts w:hint="default" w:ascii="Times New Roman" w:hAnsi="Times New Roman" w:eastAsia="宋体" w:cs="Times New Roman"/>
                      <w:kern w:val="0"/>
                      <w:szCs w:val="21"/>
                      <w:lang w:val="en-US" w:eastAsia="zh-CN"/>
                    </w:rPr>
                    <w:fldChar w:fldCharType="separate"/>
                  </w:r>
                  <w:r>
                    <w:rPr>
                      <w:rFonts w:hint="default" w:ascii="Times New Roman" w:hAnsi="Times New Roman" w:eastAsia="宋体" w:cs="Times New Roman"/>
                      <w:kern w:val="0"/>
                      <w:szCs w:val="21"/>
                      <w:lang w:val="en-US" w:eastAsia="zh-CN"/>
                    </w:rPr>
                    <w:t>四氟乙烯</w:t>
                  </w:r>
                  <w:r>
                    <w:rPr>
                      <w:rFonts w:hint="default" w:ascii="Times New Roman" w:hAnsi="Times New Roman" w:eastAsia="宋体" w:cs="Times New Roman"/>
                      <w:kern w:val="0"/>
                      <w:szCs w:val="21"/>
                      <w:lang w:val="en-US" w:eastAsia="zh-CN"/>
                    </w:rPr>
                    <w:fldChar w:fldCharType="end"/>
                  </w:r>
                  <w:r>
                    <w:rPr>
                      <w:rFonts w:hint="default" w:ascii="Times New Roman" w:hAnsi="Times New Roman" w:eastAsia="宋体" w:cs="Times New Roman"/>
                      <w:kern w:val="0"/>
                      <w:szCs w:val="21"/>
                      <w:lang w:val="en-US" w:eastAsia="zh-CN"/>
                    </w:rPr>
                    <w:t>作为</w:t>
                  </w:r>
                  <w:r>
                    <w:rPr>
                      <w:rFonts w:hint="default" w:ascii="Times New Roman" w:hAnsi="Times New Roman" w:eastAsia="宋体" w:cs="Times New Roman"/>
                      <w:kern w:val="0"/>
                      <w:szCs w:val="21"/>
                      <w:lang w:val="en-US" w:eastAsia="zh-CN"/>
                    </w:rPr>
                    <w:fldChar w:fldCharType="begin"/>
                  </w:r>
                  <w:r>
                    <w:rPr>
                      <w:rFonts w:hint="default" w:ascii="Times New Roman" w:hAnsi="Times New Roman" w:eastAsia="宋体" w:cs="Times New Roman"/>
                      <w:kern w:val="0"/>
                      <w:szCs w:val="21"/>
                      <w:lang w:val="en-US" w:eastAsia="zh-CN"/>
                    </w:rPr>
                    <w:instrText xml:space="preserve"> HYPERLINK "https://baike.baidu.com/item/%E5%8D%95%E4%BD%93/9609955" \t "https://baike.baidu.com/item/%E8%81%9A%E5%9B%9B%E6%B0%9F%E4%B9%99%E7%83%AF/_blank" </w:instrText>
                  </w:r>
                  <w:r>
                    <w:rPr>
                      <w:rFonts w:hint="default" w:ascii="Times New Roman" w:hAnsi="Times New Roman" w:eastAsia="宋体" w:cs="Times New Roman"/>
                      <w:kern w:val="0"/>
                      <w:szCs w:val="21"/>
                      <w:lang w:val="en-US" w:eastAsia="zh-CN"/>
                    </w:rPr>
                    <w:fldChar w:fldCharType="separate"/>
                  </w:r>
                  <w:r>
                    <w:rPr>
                      <w:rFonts w:hint="default" w:ascii="Times New Roman" w:hAnsi="Times New Roman" w:eastAsia="宋体" w:cs="Times New Roman"/>
                      <w:kern w:val="0"/>
                      <w:szCs w:val="21"/>
                      <w:lang w:val="en-US" w:eastAsia="zh-CN"/>
                    </w:rPr>
                    <w:t>单体</w:t>
                  </w:r>
                  <w:r>
                    <w:rPr>
                      <w:rFonts w:hint="default" w:ascii="Times New Roman" w:hAnsi="Times New Roman" w:eastAsia="宋体" w:cs="Times New Roman"/>
                      <w:kern w:val="0"/>
                      <w:szCs w:val="21"/>
                      <w:lang w:val="en-US" w:eastAsia="zh-CN"/>
                    </w:rPr>
                    <w:fldChar w:fldCharType="end"/>
                  </w:r>
                  <w:r>
                    <w:rPr>
                      <w:rFonts w:hint="default" w:ascii="Times New Roman" w:hAnsi="Times New Roman" w:eastAsia="宋体" w:cs="Times New Roman"/>
                      <w:kern w:val="0"/>
                      <w:szCs w:val="21"/>
                      <w:lang w:val="en-US" w:eastAsia="zh-CN"/>
                    </w:rPr>
                    <w:t>聚合制得的</w:t>
                  </w:r>
                  <w:r>
                    <w:rPr>
                      <w:rFonts w:hint="default" w:ascii="Times New Roman" w:hAnsi="Times New Roman" w:eastAsia="宋体" w:cs="Times New Roman"/>
                      <w:kern w:val="0"/>
                      <w:szCs w:val="21"/>
                      <w:lang w:val="en-US" w:eastAsia="zh-CN"/>
                    </w:rPr>
                    <w:fldChar w:fldCharType="begin"/>
                  </w:r>
                  <w:r>
                    <w:rPr>
                      <w:rFonts w:hint="default" w:ascii="Times New Roman" w:hAnsi="Times New Roman" w:eastAsia="宋体" w:cs="Times New Roman"/>
                      <w:kern w:val="0"/>
                      <w:szCs w:val="21"/>
                      <w:lang w:val="en-US" w:eastAsia="zh-CN"/>
                    </w:rPr>
                    <w:instrText xml:space="preserve"> HYPERLINK "https://baike.baidu.com/item/%E9%AB%98%E5%88%86%E5%AD%90%E8%81%9A%E5%90%88%E7%89%A9/10404353" \t "https://baike.baidu.com/item/%E8%81%9A%E5%9B%9B%E6%B0%9F%E4%B9%99%E7%83%AF/_blank" </w:instrText>
                  </w:r>
                  <w:r>
                    <w:rPr>
                      <w:rFonts w:hint="default" w:ascii="Times New Roman" w:hAnsi="Times New Roman" w:eastAsia="宋体" w:cs="Times New Roman"/>
                      <w:kern w:val="0"/>
                      <w:szCs w:val="21"/>
                      <w:lang w:val="en-US" w:eastAsia="zh-CN"/>
                    </w:rPr>
                    <w:fldChar w:fldCharType="separate"/>
                  </w:r>
                  <w:r>
                    <w:rPr>
                      <w:rFonts w:hint="default" w:ascii="Times New Roman" w:hAnsi="Times New Roman" w:eastAsia="宋体" w:cs="Times New Roman"/>
                      <w:kern w:val="0"/>
                      <w:szCs w:val="21"/>
                      <w:lang w:val="en-US" w:eastAsia="zh-CN"/>
                    </w:rPr>
                    <w:t>高分子聚合物</w:t>
                  </w:r>
                  <w:r>
                    <w:rPr>
                      <w:rFonts w:hint="default" w:ascii="Times New Roman" w:hAnsi="Times New Roman" w:eastAsia="宋体" w:cs="Times New Roman"/>
                      <w:kern w:val="0"/>
                      <w:szCs w:val="21"/>
                      <w:lang w:val="en-US" w:eastAsia="zh-CN"/>
                    </w:rPr>
                    <w:fldChar w:fldCharType="end"/>
                  </w:r>
                  <w:r>
                    <w:rPr>
                      <w:rFonts w:hint="default" w:ascii="Times New Roman" w:hAnsi="Times New Roman" w:eastAsia="宋体" w:cs="Times New Roman"/>
                      <w:kern w:val="0"/>
                      <w:szCs w:val="21"/>
                      <w:lang w:val="en-US" w:eastAsia="zh-CN"/>
                    </w:rPr>
                    <w:t>。 白色蜡状、半透明、耐热、耐寒性优良，可在-180～260ºC长期使用。这种材料具有抗酸抗碱、抗各种</w:t>
                  </w:r>
                  <w:r>
                    <w:rPr>
                      <w:rFonts w:hint="default" w:ascii="Times New Roman" w:hAnsi="Times New Roman" w:eastAsia="宋体" w:cs="Times New Roman"/>
                      <w:kern w:val="0"/>
                      <w:szCs w:val="21"/>
                      <w:lang w:val="en-US" w:eastAsia="zh-CN"/>
                    </w:rPr>
                    <w:fldChar w:fldCharType="begin"/>
                  </w:r>
                  <w:r>
                    <w:rPr>
                      <w:rFonts w:hint="default" w:ascii="Times New Roman" w:hAnsi="Times New Roman" w:eastAsia="宋体" w:cs="Times New Roman"/>
                      <w:kern w:val="0"/>
                      <w:szCs w:val="21"/>
                      <w:lang w:val="en-US" w:eastAsia="zh-CN"/>
                    </w:rPr>
                    <w:instrText xml:space="preserve"> HYPERLINK "https://baike.baidu.com/item/%E6%9C%89%E6%9C%BA%E6%BA%B6%E5%89%82/7921016" \t "https://baike.baidu.com/item/%E8%81%9A%E5%9B%9B%E6%B0%9F%E4%B9%99%E7%83%AF/_blank" </w:instrText>
                  </w:r>
                  <w:r>
                    <w:rPr>
                      <w:rFonts w:hint="default" w:ascii="Times New Roman" w:hAnsi="Times New Roman" w:eastAsia="宋体" w:cs="Times New Roman"/>
                      <w:kern w:val="0"/>
                      <w:szCs w:val="21"/>
                      <w:lang w:val="en-US" w:eastAsia="zh-CN"/>
                    </w:rPr>
                    <w:fldChar w:fldCharType="separate"/>
                  </w:r>
                  <w:r>
                    <w:rPr>
                      <w:rFonts w:hint="default" w:ascii="Times New Roman" w:hAnsi="Times New Roman" w:eastAsia="宋体" w:cs="Times New Roman"/>
                      <w:kern w:val="0"/>
                      <w:szCs w:val="21"/>
                      <w:lang w:val="en-US" w:eastAsia="zh-CN"/>
                    </w:rPr>
                    <w:t>有机溶剂</w:t>
                  </w:r>
                  <w:r>
                    <w:rPr>
                      <w:rFonts w:hint="default" w:ascii="Times New Roman" w:hAnsi="Times New Roman" w:eastAsia="宋体" w:cs="Times New Roman"/>
                      <w:kern w:val="0"/>
                      <w:szCs w:val="21"/>
                      <w:lang w:val="en-US" w:eastAsia="zh-CN"/>
                    </w:rPr>
                    <w:fldChar w:fldCharType="end"/>
                  </w:r>
                  <w:r>
                    <w:rPr>
                      <w:rFonts w:hint="default" w:ascii="Times New Roman" w:hAnsi="Times New Roman" w:eastAsia="宋体" w:cs="Times New Roman"/>
                      <w:kern w:val="0"/>
                      <w:szCs w:val="21"/>
                      <w:lang w:val="en-US" w:eastAsia="zh-CN"/>
                    </w:rPr>
                    <w:t>的特点，几乎不溶于所有的溶剂。聚四氟乙烯PTFE的拉伸强度、冲击强度、弯曲强度、刚性、硬度和耐疲劳性能等较弱。PTFE耐候性优良，对光和臭氧稳定，耐辐射性能差。PTFE不能燃烧，具有自熄性能。</w:t>
                  </w:r>
                </w:p>
              </w:tc>
              <w:tc>
                <w:tcPr>
                  <w:tcW w:w="556" w:type="pct"/>
                  <w:noWrap w:val="0"/>
                  <w:vAlign w:val="center"/>
                </w:tcPr>
                <w:p>
                  <w:pPr>
                    <w:pStyle w:val="18"/>
                    <w:adjustRightInd w:val="0"/>
                    <w:snapToGrid w:val="0"/>
                    <w:ind w:left="0" w:firstLine="0" w:firstLineChars="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w:t>
                  </w:r>
                </w:p>
              </w:tc>
              <w:tc>
                <w:tcPr>
                  <w:tcW w:w="381" w:type="pct"/>
                  <w:noWrap w:val="0"/>
                  <w:vAlign w:val="center"/>
                </w:tcPr>
                <w:p>
                  <w:pPr>
                    <w:pStyle w:val="18"/>
                    <w:adjustRightInd w:val="0"/>
                    <w:snapToGrid w:val="0"/>
                    <w:ind w:left="0" w:firstLine="0" w:firstLineChars="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w:t>
                  </w:r>
                </w:p>
              </w:tc>
            </w:tr>
          </w:tbl>
          <w:p>
            <w:pPr>
              <w:numPr>
                <w:ilvl w:val="0"/>
                <w:numId w:val="3"/>
              </w:numPr>
              <w:tabs>
                <w:tab w:val="left" w:pos="2126"/>
              </w:tabs>
              <w:adjustRightInd w:val="0"/>
              <w:snapToGrid w:val="0"/>
              <w:spacing w:before="120" w:beforeLines="50" w:line="360" w:lineRule="auto"/>
              <w:ind w:firstLine="482" w:firstLineChars="200"/>
              <w:rPr>
                <w:rFonts w:hint="eastAsia"/>
                <w:b/>
                <w:sz w:val="24"/>
                <w:highlight w:val="none"/>
              </w:rPr>
            </w:pPr>
            <w:r>
              <w:rPr>
                <w:rFonts w:hint="eastAsia"/>
                <w:b/>
                <w:sz w:val="24"/>
                <w:highlight w:val="none"/>
              </w:rPr>
              <w:t>项目水平衡分析</w:t>
            </w:r>
          </w:p>
          <w:p>
            <w:pPr>
              <w:adjustRightInd w:val="0"/>
              <w:snapToGrid w:val="0"/>
              <w:spacing w:line="360" w:lineRule="auto"/>
              <w:ind w:firstLine="480" w:firstLineChars="200"/>
              <w:rPr>
                <w:rFonts w:hint="eastAsia"/>
              </w:rPr>
            </w:pPr>
            <w:r>
              <w:rPr>
                <w:rFonts w:hint="eastAsia"/>
                <w:sz w:val="24"/>
              </w:rPr>
              <w:t>①给水</w:t>
            </w:r>
          </w:p>
          <w:p>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本项目用水为员工生活用水</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纯水制备用水、清洗废水以及研磨水箱废水</w:t>
            </w:r>
            <w:r>
              <w:rPr>
                <w:rFonts w:hint="eastAsia" w:ascii="Times New Roman" w:hAnsi="Times New Roman" w:eastAsia="宋体" w:cs="Times New Roman"/>
                <w:sz w:val="24"/>
              </w:rPr>
              <w:t>。</w:t>
            </w:r>
          </w:p>
          <w:p>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生活用水：项目劳动定员</w:t>
            </w:r>
            <w:r>
              <w:rPr>
                <w:rFonts w:hint="eastAsia" w:ascii="Times New Roman" w:hAnsi="Times New Roman" w:eastAsia="宋体" w:cs="Times New Roman"/>
                <w:sz w:val="24"/>
                <w:lang w:val="en-US" w:eastAsia="zh-CN"/>
              </w:rPr>
              <w:t>25</w:t>
            </w:r>
            <w:r>
              <w:rPr>
                <w:rFonts w:hint="eastAsia" w:ascii="Times New Roman" w:hAnsi="Times New Roman" w:eastAsia="宋体" w:cs="Times New Roman"/>
                <w:sz w:val="24"/>
              </w:rPr>
              <w:t>人，不设置住宿和餐饮，年工作300天，根据《江苏省工业、服务业和生活用水定额》（2014修订），员工生活用水定额按50L/人·d计，则生活用水量为3</w:t>
            </w:r>
            <w:r>
              <w:rPr>
                <w:rFonts w:hint="eastAsia" w:ascii="Times New Roman" w:hAnsi="Times New Roman" w:eastAsia="宋体" w:cs="Times New Roman"/>
                <w:sz w:val="24"/>
                <w:lang w:val="en-US" w:eastAsia="zh-CN"/>
              </w:rPr>
              <w:t>75</w:t>
            </w:r>
            <w:r>
              <w:rPr>
                <w:rFonts w:hint="eastAsia" w:ascii="Times New Roman" w:hAnsi="Times New Roman" w:eastAsia="宋体" w:cs="Times New Roman"/>
                <w:sz w:val="24"/>
              </w:rPr>
              <w:t>t/a。</w:t>
            </w:r>
          </w:p>
          <w:p>
            <w:pPr>
              <w:adjustRightInd w:val="0"/>
              <w:snapToGrid w:val="0"/>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纯水制备用水：项目生产工艺中均使用纯水，由厂内纯水装置供应。项目采用二级反渗透法制取纯水，纯水用量为70t/a，新鲜水与制得纯水的比例约为10:7，自来水年使用量约为100t/a，则反渗透浓水产生量为30t/a，这部分反渗透浓水比较清洁，浓液COD一般在40mg/L左右。</w:t>
            </w:r>
          </w:p>
          <w:p>
            <w:pPr>
              <w:adjustRightInd w:val="0"/>
              <w:snapToGrid w:val="0"/>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清洗废水：本项目需用纯水清洗两次，清洗</w:t>
            </w:r>
            <w:r>
              <w:rPr>
                <w:rFonts w:hint="eastAsia" w:ascii="Times New Roman" w:hAnsi="Times New Roman" w:eastAsia="宋体" w:cs="Times New Roman"/>
                <w:sz w:val="24"/>
              </w:rPr>
              <w:t>水槽规格为</w:t>
            </w:r>
            <w:r>
              <w:rPr>
                <w:rFonts w:hint="eastAsia" w:ascii="Times New Roman" w:hAnsi="Times New Roman" w:eastAsia="宋体" w:cs="Times New Roman"/>
                <w:sz w:val="24"/>
                <w:lang w:val="en-US" w:eastAsia="zh-CN"/>
              </w:rPr>
              <w:t>1.3</w:t>
            </w:r>
            <w:r>
              <w:rPr>
                <w:rFonts w:hint="eastAsia" w:ascii="Times New Roman" w:hAnsi="Times New Roman" w:eastAsia="宋体" w:cs="Times New Roman"/>
                <w:sz w:val="24"/>
              </w:rPr>
              <w:t>m*</w:t>
            </w:r>
            <w:r>
              <w:rPr>
                <w:rFonts w:hint="eastAsia" w:ascii="Times New Roman" w:hAnsi="Times New Roman" w:eastAsia="宋体" w:cs="Times New Roman"/>
                <w:sz w:val="24"/>
                <w:lang w:val="en-US" w:eastAsia="zh-CN"/>
              </w:rPr>
              <w:t>0.6</w:t>
            </w:r>
            <w:r>
              <w:rPr>
                <w:rFonts w:hint="eastAsia" w:ascii="Times New Roman" w:hAnsi="Times New Roman" w:eastAsia="宋体" w:cs="Times New Roman"/>
                <w:sz w:val="24"/>
              </w:rPr>
              <w:t>m*</w:t>
            </w:r>
            <w:r>
              <w:rPr>
                <w:rFonts w:hint="eastAsia" w:ascii="Times New Roman" w:hAnsi="Times New Roman" w:eastAsia="宋体" w:cs="Times New Roman"/>
                <w:sz w:val="24"/>
                <w:lang w:val="en-US" w:eastAsia="zh-CN"/>
              </w:rPr>
              <w:t>0.4</w:t>
            </w:r>
            <w:r>
              <w:rPr>
                <w:rFonts w:hint="eastAsia" w:ascii="Times New Roman" w:hAnsi="Times New Roman" w:eastAsia="宋体" w:cs="Times New Roman"/>
                <w:sz w:val="24"/>
              </w:rPr>
              <w:t>m，总容积</w:t>
            </w:r>
            <w:r>
              <w:rPr>
                <w:rFonts w:hint="eastAsia" w:ascii="Times New Roman" w:hAnsi="Times New Roman" w:eastAsia="宋体" w:cs="Times New Roman"/>
                <w:sz w:val="24"/>
                <w:lang w:val="en-US" w:eastAsia="zh-CN"/>
              </w:rPr>
              <w:t>0.312</w:t>
            </w:r>
            <w:r>
              <w:rPr>
                <w:rFonts w:hint="eastAsia" w:ascii="Times New Roman" w:hAnsi="Times New Roman" w:eastAsia="宋体" w:cs="Times New Roman"/>
                <w:sz w:val="24"/>
              </w:rPr>
              <w:t>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蓄水量为65%，外购配件在出厂时已达到清洁的标准，因此水槽清洗水两天一换，年工作300天，</w:t>
            </w:r>
            <w:r>
              <w:rPr>
                <w:rFonts w:hint="eastAsia" w:ascii="Times New Roman" w:hAnsi="Times New Roman" w:eastAsia="宋体" w:cs="Times New Roman"/>
                <w:sz w:val="24"/>
              </w:rPr>
              <w:t>则</w:t>
            </w:r>
            <w:r>
              <w:rPr>
                <w:rFonts w:hint="eastAsia" w:ascii="Times New Roman" w:hAnsi="Times New Roman" w:eastAsia="宋体" w:cs="Times New Roman"/>
                <w:sz w:val="24"/>
                <w:lang w:val="en-US" w:eastAsia="zh-CN"/>
              </w:rPr>
              <w:t>清洗用</w:t>
            </w:r>
            <w:r>
              <w:rPr>
                <w:rFonts w:hint="eastAsia" w:ascii="Times New Roman" w:hAnsi="Times New Roman" w:eastAsia="宋体" w:cs="Times New Roman"/>
                <w:sz w:val="24"/>
              </w:rPr>
              <w:t>水量为</w:t>
            </w:r>
            <w:r>
              <w:rPr>
                <w:rFonts w:hint="eastAsia" w:ascii="Times New Roman" w:hAnsi="Times New Roman" w:eastAsia="宋体" w:cs="Times New Roman"/>
                <w:sz w:val="24"/>
                <w:lang w:val="en-US" w:eastAsia="zh-CN"/>
              </w:rPr>
              <w:t>61</w:t>
            </w:r>
            <w:r>
              <w:rPr>
                <w:rFonts w:hint="eastAsia" w:ascii="Times New Roman" w:hAnsi="Times New Roman" w:eastAsia="宋体" w:cs="Times New Roman"/>
                <w:sz w:val="24"/>
              </w:rPr>
              <w:t>t/a</w:t>
            </w:r>
            <w:r>
              <w:rPr>
                <w:rFonts w:hint="eastAsia" w:ascii="Times New Roman" w:hAnsi="Times New Roman" w:eastAsia="宋体" w:cs="Times New Roman"/>
                <w:sz w:val="24"/>
                <w:lang w:eastAsia="zh-CN"/>
              </w:rPr>
              <w:t>。</w:t>
            </w:r>
          </w:p>
          <w:p>
            <w:pPr>
              <w:adjustRightInd w:val="0"/>
              <w:snapToGrid w:val="0"/>
              <w:spacing w:line="360" w:lineRule="auto"/>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研磨水箱废水：磁力研磨机在水箱中对电圈套器整体进行研磨，该水箱蓄水量5L，本项目使用两台研磨机，外购配件在出厂时达到清洁的标准，因此水箱用水2</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3月一换即可，按两月计，则生产用水</w:t>
            </w:r>
            <w:r>
              <w:rPr>
                <w:rFonts w:hint="eastAsia" w:ascii="Times New Roman" w:hAnsi="Times New Roman" w:eastAsia="宋体" w:cs="Times New Roman"/>
                <w:sz w:val="24"/>
              </w:rPr>
              <w:t>量</w:t>
            </w:r>
            <w:r>
              <w:rPr>
                <w:rFonts w:hint="eastAsia" w:ascii="Times New Roman" w:hAnsi="Times New Roman" w:eastAsia="宋体" w:cs="Times New Roman"/>
                <w:sz w:val="24"/>
                <w:lang w:val="en-US" w:eastAsia="zh-CN"/>
              </w:rPr>
              <w:t>为0.06t/a。</w:t>
            </w:r>
          </w:p>
          <w:p>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②排水</w:t>
            </w:r>
          </w:p>
          <w:p>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生活污水：生活用水排放系数按0.8计，则生活污水量为</w:t>
            </w:r>
            <w:r>
              <w:rPr>
                <w:rFonts w:hint="eastAsia" w:ascii="Times New Roman" w:hAnsi="Times New Roman" w:eastAsia="宋体" w:cs="Times New Roman"/>
                <w:sz w:val="24"/>
                <w:lang w:val="en-US" w:eastAsia="zh-CN"/>
              </w:rPr>
              <w:t>300</w:t>
            </w:r>
            <w:r>
              <w:rPr>
                <w:rFonts w:hint="eastAsia" w:ascii="Times New Roman" w:hAnsi="Times New Roman" w:eastAsia="宋体" w:cs="Times New Roman"/>
                <w:sz w:val="24"/>
              </w:rPr>
              <w:t>t/a，接管至金坛区第二污水处理厂集中处理，处理后尾水排入尧塘河。</w:t>
            </w:r>
          </w:p>
          <w:p>
            <w:pPr>
              <w:adjustRightInd w:val="0"/>
              <w:snapToGrid w:val="0"/>
              <w:spacing w:line="360" w:lineRule="auto"/>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纯水制备浓水：纯水制备浓水</w:t>
            </w:r>
            <w:r>
              <w:rPr>
                <w:rFonts w:hint="eastAsia" w:ascii="Times New Roman" w:hAnsi="Times New Roman" w:eastAsia="宋体" w:cs="Times New Roman"/>
                <w:sz w:val="24"/>
              </w:rPr>
              <w:t>排放系数按0.</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rPr>
              <w:t>计</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则</w:t>
            </w:r>
            <w:r>
              <w:rPr>
                <w:rFonts w:hint="eastAsia" w:ascii="Times New Roman" w:hAnsi="Times New Roman" w:eastAsia="宋体" w:cs="Times New Roman"/>
                <w:sz w:val="24"/>
                <w:lang w:val="en-US" w:eastAsia="zh-CN"/>
              </w:rPr>
              <w:t>排放量</w:t>
            </w:r>
            <w:r>
              <w:rPr>
                <w:rFonts w:hint="eastAsia" w:ascii="Times New Roman" w:hAnsi="Times New Roman" w:eastAsia="宋体" w:cs="Times New Roman"/>
                <w:sz w:val="24"/>
              </w:rPr>
              <w:t>为</w:t>
            </w:r>
            <w:r>
              <w:rPr>
                <w:rFonts w:hint="eastAsia" w:ascii="Times New Roman" w:hAnsi="Times New Roman" w:eastAsia="宋体" w:cs="Times New Roman"/>
                <w:sz w:val="24"/>
                <w:lang w:val="en-US" w:eastAsia="zh-CN"/>
              </w:rPr>
              <w:t>27</w:t>
            </w:r>
            <w:r>
              <w:rPr>
                <w:rFonts w:hint="eastAsia" w:ascii="Times New Roman" w:hAnsi="Times New Roman" w:eastAsia="宋体" w:cs="Times New Roman"/>
                <w:sz w:val="24"/>
              </w:rPr>
              <w:t>t/a</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反渗透浓水比较清洁，浓液COD一般在40mg/L左右，可接市政污水管网。</w:t>
            </w:r>
          </w:p>
          <w:p>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清洗废水</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清洗废水</w:t>
            </w:r>
            <w:r>
              <w:rPr>
                <w:rFonts w:hint="eastAsia" w:ascii="Times New Roman" w:hAnsi="Times New Roman" w:eastAsia="宋体" w:cs="Times New Roman"/>
                <w:sz w:val="24"/>
              </w:rPr>
              <w:t>排放系数按0.</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rPr>
              <w:t>计</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则</w:t>
            </w:r>
            <w:r>
              <w:rPr>
                <w:rFonts w:hint="eastAsia" w:ascii="Times New Roman" w:hAnsi="Times New Roman" w:eastAsia="宋体" w:cs="Times New Roman"/>
                <w:sz w:val="24"/>
                <w:lang w:val="en-US" w:eastAsia="zh-CN"/>
              </w:rPr>
              <w:t>排放量</w:t>
            </w:r>
            <w:r>
              <w:rPr>
                <w:rFonts w:hint="eastAsia" w:ascii="Times New Roman" w:hAnsi="Times New Roman" w:eastAsia="宋体" w:cs="Times New Roman"/>
                <w:sz w:val="24"/>
              </w:rPr>
              <w:t>为</w:t>
            </w:r>
            <w:r>
              <w:rPr>
                <w:rFonts w:hint="eastAsia" w:ascii="Times New Roman" w:hAnsi="Times New Roman" w:eastAsia="宋体" w:cs="Times New Roman"/>
                <w:sz w:val="24"/>
                <w:lang w:val="en-US" w:eastAsia="zh-CN"/>
              </w:rPr>
              <w:t>54.9</w:t>
            </w:r>
            <w:r>
              <w:rPr>
                <w:rFonts w:hint="eastAsia" w:ascii="Times New Roman" w:hAnsi="Times New Roman" w:eastAsia="宋体" w:cs="Times New Roman"/>
                <w:sz w:val="24"/>
              </w:rPr>
              <w:t>t/a</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外购配件在出厂时已达到清洁的标准</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水质简单，可</w:t>
            </w:r>
            <w:r>
              <w:rPr>
                <w:rFonts w:hint="eastAsia" w:ascii="Times New Roman" w:hAnsi="Times New Roman" w:eastAsia="宋体" w:cs="Times New Roman"/>
                <w:sz w:val="24"/>
              </w:rPr>
              <w:t>接管至金坛区第二污水处理厂集中处理，处理后尾水排入尧塘河。</w:t>
            </w:r>
          </w:p>
          <w:p>
            <w:pPr>
              <w:adjustRightInd w:val="0"/>
              <w:snapToGrid w:val="0"/>
              <w:spacing w:line="360" w:lineRule="auto"/>
              <w:ind w:firstLine="480" w:firstLineChars="200"/>
              <w:rPr>
                <w:rFonts w:hint="default"/>
                <w:sz w:val="24"/>
                <w:highlight w:val="none"/>
                <w:lang w:val="en-US" w:eastAsia="zh-CN"/>
              </w:rPr>
            </w:pPr>
            <w:r>
              <w:rPr>
                <w:rFonts w:hint="eastAsia" w:ascii="Times New Roman" w:hAnsi="Times New Roman" w:eastAsia="宋体" w:cs="Times New Roman"/>
                <w:sz w:val="24"/>
                <w:lang w:val="en-US" w:eastAsia="zh-CN"/>
              </w:rPr>
              <w:t>研磨水箱废液</w:t>
            </w:r>
            <w:r>
              <w:rPr>
                <w:rFonts w:hint="eastAsia"/>
                <w:sz w:val="24"/>
                <w:highlight w:val="none"/>
                <w:lang w:val="en-US" w:eastAsia="zh-CN"/>
              </w:rPr>
              <w:t>：统一收集后委托有资质单位处置，不外排。</w:t>
            </w:r>
          </w:p>
          <w:p>
            <w:pPr>
              <w:adjustRightInd w:val="0"/>
              <w:snapToGrid w:val="0"/>
              <w:spacing w:line="360" w:lineRule="auto"/>
              <w:ind w:firstLine="480" w:firstLineChars="200"/>
              <w:rPr>
                <w:rFonts w:hint="eastAsia"/>
                <w:sz w:val="24"/>
              </w:rPr>
            </w:pPr>
            <w:r>
              <w:rPr>
                <w:rFonts w:hint="eastAsia"/>
                <w:sz w:val="24"/>
              </w:rPr>
              <w:t>项目水平衡见图2-1。</w:t>
            </w:r>
          </w:p>
          <w:p>
            <w:pPr>
              <w:adjustRightInd w:val="0"/>
              <w:snapToGrid w:val="0"/>
              <w:spacing w:line="360" w:lineRule="auto"/>
              <w:rPr>
                <w:rFonts w:hint="eastAsia" w:eastAsia="宋体"/>
                <w:sz w:val="24"/>
                <w:lang w:eastAsia="zh-CN"/>
              </w:rPr>
            </w:pPr>
            <w:r>
              <w:rPr>
                <w:rFonts w:hint="eastAsia" w:eastAsia="宋体"/>
                <w:sz w:val="24"/>
                <w:lang w:eastAsia="zh-CN"/>
              </w:rPr>
              <w:drawing>
                <wp:inline distT="0" distB="0" distL="114300" distR="114300">
                  <wp:extent cx="5332730" cy="3324860"/>
                  <wp:effectExtent l="0" t="0" r="0" b="0"/>
                  <wp:docPr id="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wps"/>
                          <pic:cNvPicPr>
                            <a:picLocks noChangeAspect="1"/>
                          </pic:cNvPicPr>
                        </pic:nvPicPr>
                        <pic:blipFill>
                          <a:blip r:embed="rId10"/>
                          <a:stretch>
                            <a:fillRect/>
                          </a:stretch>
                        </pic:blipFill>
                        <pic:spPr>
                          <a:xfrm>
                            <a:off x="0" y="0"/>
                            <a:ext cx="5332730" cy="3324860"/>
                          </a:xfrm>
                          <a:prstGeom prst="rect">
                            <a:avLst/>
                          </a:prstGeom>
                          <a:noFill/>
                          <a:ln>
                            <a:noFill/>
                          </a:ln>
                        </pic:spPr>
                      </pic:pic>
                    </a:graphicData>
                  </a:graphic>
                </wp:inline>
              </w:drawing>
            </w:r>
          </w:p>
          <w:p>
            <w:pPr>
              <w:adjustRightInd w:val="0"/>
              <w:snapToGrid w:val="0"/>
              <w:spacing w:line="360" w:lineRule="auto"/>
              <w:jc w:val="center"/>
              <w:rPr>
                <w:b/>
                <w:bCs/>
                <w:sz w:val="24"/>
              </w:rPr>
            </w:pPr>
            <w:r>
              <w:rPr>
                <w:rFonts w:hint="eastAsia"/>
                <w:b/>
                <w:bCs/>
                <w:sz w:val="24"/>
              </w:rPr>
              <w:t>图2-1  项目水平衡图（单位：t/a）</w:t>
            </w:r>
          </w:p>
          <w:p>
            <w:pPr>
              <w:numPr>
                <w:ilvl w:val="2"/>
                <w:numId w:val="0"/>
              </w:numPr>
              <w:tabs>
                <w:tab w:val="left" w:pos="2126"/>
              </w:tabs>
              <w:adjustRightInd w:val="0"/>
              <w:snapToGrid w:val="0"/>
              <w:spacing w:line="360" w:lineRule="auto"/>
              <w:ind w:firstLine="482" w:firstLineChars="200"/>
              <w:rPr>
                <w:b/>
                <w:sz w:val="24"/>
                <w:highlight w:val="none"/>
              </w:rPr>
            </w:pPr>
            <w:r>
              <w:rPr>
                <w:rFonts w:hint="eastAsia"/>
                <w:b/>
                <w:sz w:val="24"/>
                <w:highlight w:val="none"/>
              </w:rPr>
              <w:t>7</w:t>
            </w:r>
            <w:r>
              <w:rPr>
                <w:b/>
                <w:sz w:val="24"/>
                <w:highlight w:val="none"/>
              </w:rPr>
              <w:t>、厂区平面布置</w:t>
            </w:r>
            <w:bookmarkEnd w:id="3"/>
          </w:p>
          <w:p>
            <w:pPr>
              <w:numPr>
                <w:ilvl w:val="2"/>
                <w:numId w:val="0"/>
              </w:numPr>
              <w:tabs>
                <w:tab w:val="left" w:pos="2126"/>
              </w:tabs>
              <w:spacing w:line="360" w:lineRule="auto"/>
              <w:ind w:firstLine="480" w:firstLineChars="200"/>
              <w:rPr>
                <w:rFonts w:hint="default" w:eastAsia="宋体"/>
                <w:bCs/>
                <w:color w:val="000000"/>
                <w:sz w:val="24"/>
                <w:highlight w:val="none"/>
                <w:lang w:val="en-US" w:eastAsia="zh-CN"/>
              </w:rPr>
            </w:pPr>
            <w:bookmarkStart w:id="4" w:name="_Toc71671771"/>
            <w:r>
              <w:rPr>
                <w:rFonts w:hint="eastAsia"/>
                <w:bCs/>
                <w:color w:val="000000"/>
                <w:sz w:val="24"/>
              </w:rPr>
              <w:t>项目租赁</w:t>
            </w:r>
            <w:r>
              <w:rPr>
                <w:rFonts w:hint="eastAsia"/>
                <w:bCs/>
                <w:color w:val="000000"/>
                <w:sz w:val="24"/>
                <w:lang w:val="en-US" w:eastAsia="zh-CN"/>
              </w:rPr>
              <w:t>江苏华科园投资发展有限公司已建厂房东侧部分闲置区域</w:t>
            </w:r>
            <w:r>
              <w:rPr>
                <w:rFonts w:hint="eastAsia"/>
                <w:bCs/>
                <w:color w:val="000000"/>
                <w:sz w:val="24"/>
              </w:rPr>
              <w:t>作为生产厂房，厂区位于</w:t>
            </w:r>
            <w:r>
              <w:rPr>
                <w:rFonts w:hint="eastAsia"/>
                <w:bCs/>
                <w:color w:val="000000"/>
                <w:sz w:val="24"/>
                <w:lang w:val="en-US" w:eastAsia="zh-CN"/>
              </w:rPr>
              <w:t>园区东北1门南侧</w:t>
            </w:r>
            <w:r>
              <w:rPr>
                <w:rFonts w:hint="eastAsia"/>
                <w:bCs/>
                <w:color w:val="000000"/>
                <w:sz w:val="24"/>
                <w:highlight w:val="none"/>
              </w:rPr>
              <w:t>。 常州凯士多医疗科技有限公司厂区共</w:t>
            </w:r>
            <w:r>
              <w:rPr>
                <w:rFonts w:hint="eastAsia"/>
                <w:bCs/>
                <w:color w:val="000000"/>
                <w:sz w:val="24"/>
                <w:highlight w:val="none"/>
                <w:lang w:val="en-US" w:eastAsia="zh-CN"/>
              </w:rPr>
              <w:t>分为洁净车间以及办公区</w:t>
            </w:r>
            <w:r>
              <w:rPr>
                <w:rFonts w:hint="eastAsia"/>
                <w:bCs/>
                <w:color w:val="000000"/>
                <w:sz w:val="24"/>
                <w:highlight w:val="none"/>
                <w:lang w:eastAsia="zh-CN"/>
              </w:rPr>
              <w:t>。</w:t>
            </w:r>
            <w:r>
              <w:rPr>
                <w:rFonts w:hint="eastAsia"/>
                <w:bCs/>
                <w:color w:val="000000"/>
                <w:sz w:val="24"/>
                <w:highlight w:val="none"/>
                <w:lang w:val="en-US" w:eastAsia="zh-CN"/>
              </w:rPr>
              <w:t>洁净车间设于厂房中部以及南部，南</w:t>
            </w:r>
            <w:r>
              <w:rPr>
                <w:rFonts w:hint="eastAsia"/>
                <w:bCs/>
                <w:color w:val="000000"/>
                <w:sz w:val="24"/>
                <w:highlight w:val="none"/>
              </w:rPr>
              <w:t>部</w:t>
            </w:r>
            <w:r>
              <w:rPr>
                <w:rFonts w:hint="eastAsia"/>
                <w:bCs/>
                <w:color w:val="000000"/>
                <w:sz w:val="24"/>
                <w:highlight w:val="none"/>
                <w:lang w:val="en-US" w:eastAsia="zh-CN"/>
              </w:rPr>
              <w:t>西</w:t>
            </w:r>
            <w:r>
              <w:rPr>
                <w:rFonts w:hint="eastAsia"/>
                <w:bCs/>
                <w:color w:val="000000"/>
                <w:sz w:val="24"/>
                <w:highlight w:val="none"/>
              </w:rPr>
              <w:t>侧为</w:t>
            </w:r>
            <w:r>
              <w:rPr>
                <w:rFonts w:hint="eastAsia"/>
                <w:bCs/>
                <w:color w:val="000000"/>
                <w:sz w:val="24"/>
                <w:highlight w:val="none"/>
                <w:lang w:val="en-US" w:eastAsia="zh-CN"/>
              </w:rPr>
              <w:t>生产</w:t>
            </w:r>
            <w:r>
              <w:rPr>
                <w:rFonts w:hint="eastAsia"/>
                <w:bCs/>
                <w:color w:val="000000"/>
                <w:sz w:val="24"/>
                <w:highlight w:val="none"/>
              </w:rPr>
              <w:t>车间</w:t>
            </w:r>
            <w:r>
              <w:rPr>
                <w:rFonts w:hint="eastAsia"/>
                <w:bCs/>
                <w:color w:val="000000"/>
                <w:sz w:val="24"/>
                <w:highlight w:val="none"/>
                <w:lang w:val="en-US" w:eastAsia="zh-CN"/>
              </w:rPr>
              <w:t>一</w:t>
            </w:r>
            <w:r>
              <w:rPr>
                <w:rFonts w:hint="eastAsia"/>
                <w:bCs/>
                <w:color w:val="000000"/>
                <w:sz w:val="24"/>
                <w:highlight w:val="none"/>
              </w:rPr>
              <w:t>，</w:t>
            </w:r>
            <w:r>
              <w:rPr>
                <w:rFonts w:hint="eastAsia"/>
                <w:bCs/>
                <w:color w:val="000000"/>
                <w:sz w:val="24"/>
                <w:highlight w:val="none"/>
                <w:lang w:val="en-US" w:eastAsia="zh-CN"/>
              </w:rPr>
              <w:t>由西向东依次为生产车间二、生产车间三、危废仓库</w:t>
            </w:r>
            <w:r>
              <w:rPr>
                <w:rFonts w:hint="eastAsia"/>
                <w:bCs/>
                <w:color w:val="000000"/>
                <w:sz w:val="24"/>
                <w:highlight w:val="none"/>
              </w:rPr>
              <w:t>。</w:t>
            </w:r>
            <w:r>
              <w:rPr>
                <w:rFonts w:hint="eastAsia"/>
                <w:bCs/>
                <w:color w:val="000000"/>
                <w:sz w:val="24"/>
                <w:highlight w:val="none"/>
                <w:lang w:val="en-US" w:eastAsia="zh-CN"/>
              </w:rPr>
              <w:t>厂房中部北侧为闲置区域，由东向西依次为清洗车间，生产车间四、包装车间、以及储存区，另外清洗车间北侧为准备间设洗手池更衣室洁具间等</w:t>
            </w:r>
            <w:r>
              <w:rPr>
                <w:rFonts w:hint="eastAsia"/>
                <w:bCs/>
                <w:color w:val="000000"/>
                <w:sz w:val="24"/>
                <w:highlight w:val="none"/>
                <w:lang w:eastAsia="zh-CN"/>
              </w:rPr>
              <w:t>；</w:t>
            </w:r>
            <w:r>
              <w:rPr>
                <w:rFonts w:hint="eastAsia"/>
                <w:bCs/>
                <w:color w:val="000000"/>
                <w:sz w:val="24"/>
                <w:highlight w:val="none"/>
                <w:lang w:val="en-US" w:eastAsia="zh-CN"/>
              </w:rPr>
              <w:t>办公区设于厂房北部，由东向西依次为办公室以及一般固废仓库。</w:t>
            </w:r>
          </w:p>
          <w:bookmarkEnd w:id="4"/>
          <w:p>
            <w:pPr>
              <w:numPr>
                <w:ilvl w:val="2"/>
                <w:numId w:val="0"/>
              </w:numPr>
              <w:tabs>
                <w:tab w:val="left" w:pos="2126"/>
              </w:tabs>
              <w:spacing w:line="360" w:lineRule="auto"/>
              <w:ind w:firstLine="480" w:firstLineChars="200"/>
              <w:rPr>
                <w:rFonts w:hint="eastAsia"/>
                <w:b/>
                <w:sz w:val="24"/>
                <w:highlight w:val="none"/>
              </w:rPr>
            </w:pPr>
            <w:r>
              <w:rPr>
                <w:rFonts w:hint="eastAsia"/>
                <w:bCs/>
                <w:sz w:val="24"/>
              </w:rPr>
              <w:t>项目厂区平面布置见附图三。</w:t>
            </w:r>
            <w:bookmarkStart w:id="5" w:name="_Toc71671772"/>
          </w:p>
          <w:p>
            <w:pPr>
              <w:numPr>
                <w:ilvl w:val="2"/>
                <w:numId w:val="0"/>
              </w:numPr>
              <w:tabs>
                <w:tab w:val="left" w:pos="2126"/>
              </w:tabs>
              <w:adjustRightInd w:val="0"/>
              <w:snapToGrid w:val="0"/>
              <w:spacing w:line="360" w:lineRule="auto"/>
              <w:ind w:firstLine="482" w:firstLineChars="200"/>
              <w:rPr>
                <w:b/>
                <w:sz w:val="24"/>
                <w:highlight w:val="none"/>
              </w:rPr>
            </w:pPr>
            <w:r>
              <w:rPr>
                <w:rFonts w:hint="eastAsia"/>
                <w:b/>
                <w:sz w:val="24"/>
                <w:highlight w:val="none"/>
              </w:rPr>
              <w:t>8</w:t>
            </w:r>
            <w:r>
              <w:rPr>
                <w:b/>
                <w:sz w:val="24"/>
                <w:highlight w:val="none"/>
              </w:rPr>
              <w:t>、周边环境概况</w:t>
            </w:r>
            <w:bookmarkEnd w:id="5"/>
          </w:p>
          <w:p>
            <w:pPr>
              <w:adjustRightInd w:val="0"/>
              <w:snapToGrid w:val="0"/>
              <w:spacing w:line="360" w:lineRule="auto"/>
              <w:ind w:firstLine="480" w:firstLineChars="200"/>
              <w:rPr>
                <w:rFonts w:hint="eastAsia"/>
                <w:sz w:val="24"/>
                <w:highlight w:val="none"/>
              </w:rPr>
            </w:pPr>
            <w:r>
              <w:rPr>
                <w:sz w:val="24"/>
                <w:highlight w:val="none"/>
              </w:rPr>
              <w:t>项目</w:t>
            </w:r>
            <w:r>
              <w:rPr>
                <w:rFonts w:hint="eastAsia"/>
                <w:sz w:val="24"/>
                <w:highlight w:val="none"/>
              </w:rPr>
              <w:t>拟建地</w:t>
            </w:r>
            <w:r>
              <w:rPr>
                <w:sz w:val="24"/>
                <w:highlight w:val="none"/>
              </w:rPr>
              <w:t>位于</w:t>
            </w:r>
            <w:r>
              <w:rPr>
                <w:rFonts w:hint="eastAsia"/>
                <w:sz w:val="24"/>
                <w:highlight w:val="none"/>
              </w:rPr>
              <w:t>金坛经济开发区华城路1668号国际工业城5号楼北楼四层，</w:t>
            </w:r>
            <w:r>
              <w:rPr>
                <w:rFonts w:hint="eastAsia"/>
                <w:sz w:val="24"/>
                <w:highlight w:val="none"/>
                <w:lang w:val="en-US" w:eastAsia="zh-CN"/>
              </w:rPr>
              <w:t>二楼三楼依次为江苏思睿迪快速制造科技有限公司、百瑞医疗科技（常州）有限公司，属于生产研发企业，一楼闲置；</w:t>
            </w:r>
            <w:r>
              <w:rPr>
                <w:rFonts w:hint="eastAsia"/>
                <w:sz w:val="24"/>
                <w:highlight w:val="none"/>
              </w:rPr>
              <w:t>厂区北侧为国际工业城</w:t>
            </w:r>
            <w:r>
              <w:rPr>
                <w:rFonts w:hint="eastAsia"/>
                <w:sz w:val="24"/>
                <w:highlight w:val="none"/>
                <w:lang w:val="en-US" w:eastAsia="zh-CN"/>
              </w:rPr>
              <w:t>10</w:t>
            </w:r>
            <w:r>
              <w:rPr>
                <w:rFonts w:hint="eastAsia"/>
                <w:sz w:val="24"/>
                <w:highlight w:val="none"/>
              </w:rPr>
              <w:t>号楼，</w:t>
            </w:r>
            <w:r>
              <w:rPr>
                <w:rFonts w:hint="eastAsia"/>
                <w:sz w:val="24"/>
                <w:highlight w:val="none"/>
                <w:lang w:val="en-US" w:eastAsia="zh-CN"/>
              </w:rPr>
              <w:t>多为商务服务企业</w:t>
            </w:r>
            <w:r>
              <w:rPr>
                <w:rFonts w:hint="eastAsia"/>
                <w:sz w:val="24"/>
                <w:highlight w:val="none"/>
                <w:lang w:eastAsia="zh-CN"/>
              </w:rPr>
              <w:t>；</w:t>
            </w:r>
            <w:r>
              <w:rPr>
                <w:rFonts w:hint="eastAsia"/>
                <w:sz w:val="24"/>
                <w:highlight w:val="none"/>
              </w:rPr>
              <w:t>南侧为国际工业城5号楼</w:t>
            </w:r>
            <w:r>
              <w:rPr>
                <w:rFonts w:hint="eastAsia"/>
                <w:sz w:val="24"/>
                <w:highlight w:val="none"/>
                <w:lang w:val="en-US" w:eastAsia="zh-CN"/>
              </w:rPr>
              <w:t>南</w:t>
            </w:r>
            <w:r>
              <w:rPr>
                <w:rFonts w:hint="eastAsia"/>
                <w:sz w:val="24"/>
                <w:highlight w:val="none"/>
              </w:rPr>
              <w:t>楼，</w:t>
            </w:r>
            <w:r>
              <w:rPr>
                <w:rFonts w:hint="eastAsia"/>
                <w:sz w:val="24"/>
                <w:highlight w:val="none"/>
                <w:lang w:val="en-US" w:eastAsia="zh-CN"/>
              </w:rPr>
              <w:t>多为生产研发企业；</w:t>
            </w:r>
            <w:r>
              <w:rPr>
                <w:rFonts w:hint="eastAsia"/>
                <w:sz w:val="24"/>
                <w:highlight w:val="none"/>
              </w:rPr>
              <w:t>东侧为</w:t>
            </w:r>
            <w:r>
              <w:rPr>
                <w:rFonts w:hint="eastAsia"/>
                <w:sz w:val="24"/>
                <w:highlight w:val="none"/>
                <w:lang w:val="en-US" w:eastAsia="zh-CN"/>
              </w:rPr>
              <w:t>龙湖路</w:t>
            </w:r>
            <w:r>
              <w:rPr>
                <w:rFonts w:hint="eastAsia"/>
                <w:sz w:val="24"/>
                <w:highlight w:val="none"/>
              </w:rPr>
              <w:t>，西侧为国际工业城</w:t>
            </w:r>
            <w:r>
              <w:rPr>
                <w:rFonts w:hint="eastAsia"/>
                <w:sz w:val="24"/>
                <w:highlight w:val="none"/>
                <w:lang w:val="en-US" w:eastAsia="zh-CN"/>
              </w:rPr>
              <w:t>4</w:t>
            </w:r>
            <w:r>
              <w:rPr>
                <w:rFonts w:hint="eastAsia"/>
                <w:sz w:val="24"/>
                <w:highlight w:val="none"/>
              </w:rPr>
              <w:t>号楼</w:t>
            </w:r>
            <w:r>
              <w:rPr>
                <w:rFonts w:hint="eastAsia"/>
                <w:sz w:val="24"/>
                <w:highlight w:val="none"/>
                <w:lang w:eastAsia="zh-CN"/>
              </w:rPr>
              <w:t>，</w:t>
            </w:r>
            <w:r>
              <w:rPr>
                <w:rFonts w:hint="eastAsia"/>
                <w:sz w:val="24"/>
                <w:highlight w:val="none"/>
                <w:lang w:val="en-US" w:eastAsia="zh-CN"/>
              </w:rPr>
              <w:t>多为</w:t>
            </w:r>
            <w:r>
              <w:rPr>
                <w:rFonts w:hint="eastAsia"/>
                <w:sz w:val="24"/>
                <w:highlight w:val="none"/>
                <w:lang w:eastAsia="zh-CN"/>
              </w:rPr>
              <w:t>计算机、通信和其他电子设备制造</w:t>
            </w:r>
            <w:r>
              <w:rPr>
                <w:rFonts w:hint="eastAsia"/>
                <w:sz w:val="24"/>
                <w:highlight w:val="none"/>
                <w:lang w:val="en-US" w:eastAsia="zh-CN"/>
              </w:rPr>
              <w:t>企</w:t>
            </w:r>
            <w:r>
              <w:rPr>
                <w:rFonts w:hint="eastAsia"/>
                <w:sz w:val="24"/>
                <w:highlight w:val="none"/>
                <w:lang w:eastAsia="zh-CN"/>
              </w:rPr>
              <w:t>业</w:t>
            </w:r>
            <w:r>
              <w:rPr>
                <w:rFonts w:hint="eastAsia"/>
                <w:sz w:val="24"/>
                <w:highlight w:val="none"/>
              </w:rPr>
              <w:t>。</w:t>
            </w:r>
          </w:p>
          <w:p>
            <w:pPr>
              <w:adjustRightInd w:val="0"/>
              <w:snapToGrid w:val="0"/>
              <w:spacing w:line="360" w:lineRule="auto"/>
              <w:ind w:firstLine="480" w:firstLineChars="200"/>
              <w:rPr>
                <w:color w:val="0000FF"/>
                <w:sz w:val="24"/>
              </w:rPr>
            </w:pPr>
            <w:r>
              <w:rPr>
                <w:sz w:val="24"/>
                <w:highlight w:val="none"/>
              </w:rPr>
              <w:t>项目</w:t>
            </w:r>
            <w:r>
              <w:rPr>
                <w:rFonts w:hint="eastAsia"/>
                <w:sz w:val="24"/>
                <w:highlight w:val="none"/>
              </w:rPr>
              <w:t>周边</w:t>
            </w:r>
            <w:r>
              <w:rPr>
                <w:sz w:val="24"/>
                <w:highlight w:val="none"/>
              </w:rPr>
              <w:t>环境概况见附图</w:t>
            </w:r>
            <w:r>
              <w:rPr>
                <w:rFonts w:hint="eastAsia"/>
                <w:sz w:val="24"/>
                <w:highlight w:val="none"/>
              </w:rPr>
              <w:t>二</w:t>
            </w:r>
            <w:r>
              <w:rPr>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6" w:hRule="atLeast"/>
          <w:jc w:val="center"/>
        </w:trPr>
        <w:tc>
          <w:tcPr>
            <w:tcW w:w="356" w:type="dxa"/>
            <w:noWrap w:val="0"/>
            <w:vAlign w:val="center"/>
          </w:tcPr>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工艺流程和产排污环节</w:t>
            </w:r>
          </w:p>
          <w:p>
            <w:pPr>
              <w:pStyle w:val="20"/>
              <w:adjustRightInd w:val="0"/>
              <w:snapToGrid w:val="0"/>
              <w:spacing w:before="0" w:beforeAutospacing="0" w:after="0" w:afterAutospacing="0"/>
              <w:jc w:val="center"/>
              <w:rPr>
                <w:rFonts w:ascii="Times New Roman" w:hAnsi="Times New Roman"/>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center"/>
              <w:rPr>
                <w:rFonts w:ascii="Times New Roman" w:hAnsi="Times New Roman"/>
                <w:color w:val="0000FF"/>
                <w:szCs w:val="24"/>
              </w:rPr>
            </w:pPr>
          </w:p>
          <w:p>
            <w:pPr>
              <w:pStyle w:val="20"/>
              <w:adjustRightInd w:val="0"/>
              <w:snapToGrid w:val="0"/>
              <w:spacing w:before="0" w:beforeAutospacing="0" w:after="0" w:afterAutospacing="0"/>
              <w:jc w:val="both"/>
              <w:rPr>
                <w:rFonts w:hint="eastAsia" w:ascii="Times New Roman" w:hAnsi="Times New Roman"/>
                <w:color w:val="0000FF"/>
                <w:szCs w:val="24"/>
              </w:rPr>
            </w:pPr>
          </w:p>
        </w:tc>
        <w:tc>
          <w:tcPr>
            <w:tcW w:w="8628" w:type="dxa"/>
            <w:noWrap w:val="0"/>
            <w:vAlign w:val="center"/>
          </w:tcPr>
          <w:p>
            <w:pPr>
              <w:adjustRightInd w:val="0"/>
              <w:snapToGrid w:val="0"/>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本项目建成后用于内镜微创医疗器械研发及生产项目，项目营运期一次性使用活检钳生产工艺流程及产污环节如图2-2所示，一次性使用电圈套器生产工艺流程及产污环节如图2-3所示，一次性使用注射针生产工艺流程及产污环节如图2-4所示。</w:t>
            </w:r>
          </w:p>
          <w:p>
            <w:pPr>
              <w:adjustRightInd w:val="0"/>
              <w:snapToGrid w:val="0"/>
              <w:spacing w:line="360" w:lineRule="auto"/>
              <w:ind w:firstLine="482" w:firstLineChars="200"/>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（1）一次性使用活检钳生产工艺流程及产污环节</w:t>
            </w:r>
          </w:p>
          <w:p>
            <w:pPr>
              <w:adjustRightInd w:val="0"/>
              <w:snapToGrid w:val="0"/>
              <w:jc w:val="center"/>
              <w:rPr>
                <w:rFonts w:hint="eastAsia" w:eastAsia="宋体"/>
                <w:b/>
                <w:bCs/>
                <w:sz w:val="24"/>
                <w:lang w:eastAsia="zh-CN"/>
              </w:rPr>
            </w:pPr>
            <w:r>
              <w:rPr>
                <w:rFonts w:hint="eastAsia" w:eastAsia="宋体"/>
                <w:b/>
                <w:bCs/>
                <w:sz w:val="24"/>
                <w:lang w:eastAsia="zh-CN"/>
              </w:rPr>
              <w:drawing>
                <wp:inline distT="0" distB="0" distL="114300" distR="114300">
                  <wp:extent cx="4317365" cy="5360670"/>
                  <wp:effectExtent l="0" t="0" r="0" b="0"/>
                  <wp:docPr id="3"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2" descr="wps"/>
                          <pic:cNvPicPr>
                            <a:picLocks noChangeAspect="1"/>
                          </pic:cNvPicPr>
                        </pic:nvPicPr>
                        <pic:blipFill>
                          <a:blip r:embed="rId11"/>
                          <a:stretch>
                            <a:fillRect/>
                          </a:stretch>
                        </pic:blipFill>
                        <pic:spPr>
                          <a:xfrm>
                            <a:off x="0" y="0"/>
                            <a:ext cx="4317365" cy="5360670"/>
                          </a:xfrm>
                          <a:prstGeom prst="rect">
                            <a:avLst/>
                          </a:prstGeom>
                          <a:noFill/>
                          <a:ln>
                            <a:noFill/>
                          </a:ln>
                        </pic:spPr>
                      </pic:pic>
                    </a:graphicData>
                  </a:graphic>
                </wp:inline>
              </w:drawing>
            </w:r>
          </w:p>
          <w:p>
            <w:pPr>
              <w:adjustRightInd w:val="0"/>
              <w:snapToGrid w:val="0"/>
              <w:jc w:val="center"/>
              <w:rPr>
                <w:b/>
                <w:bCs/>
                <w:sz w:val="24"/>
              </w:rPr>
            </w:pPr>
          </w:p>
          <w:p>
            <w:pPr>
              <w:adjustRightInd w:val="0"/>
              <w:snapToGrid w:val="0"/>
              <w:jc w:val="center"/>
              <w:rPr>
                <w:rFonts w:hint="eastAsia" w:eastAsia="宋体"/>
                <w:b/>
                <w:bCs/>
                <w:sz w:val="24"/>
                <w:lang w:val="en-US" w:eastAsia="zh-CN"/>
              </w:rPr>
            </w:pPr>
            <w:r>
              <w:rPr>
                <w:b/>
                <w:bCs/>
                <w:sz w:val="24"/>
              </w:rPr>
              <w:t>图2-</w:t>
            </w:r>
            <w:r>
              <w:rPr>
                <w:rFonts w:hint="eastAsia"/>
                <w:b/>
                <w:bCs/>
                <w:sz w:val="24"/>
              </w:rPr>
              <w:t>2</w:t>
            </w:r>
            <w:r>
              <w:rPr>
                <w:b/>
                <w:bCs/>
                <w:sz w:val="24"/>
              </w:rPr>
              <w:t xml:space="preserve"> </w:t>
            </w:r>
            <w:r>
              <w:rPr>
                <w:rFonts w:hint="eastAsia"/>
                <w:b/>
                <w:bCs/>
                <w:sz w:val="24"/>
                <w:lang w:val="en-US" w:eastAsia="zh-CN"/>
              </w:rPr>
              <w:t>一次性使用活检钳</w:t>
            </w:r>
            <w:r>
              <w:rPr>
                <w:b/>
                <w:bCs/>
                <w:sz w:val="24"/>
              </w:rPr>
              <w:t>生产工艺流程及产污环节</w:t>
            </w:r>
          </w:p>
          <w:p>
            <w:pPr>
              <w:adjustRightInd w:val="0"/>
              <w:snapToGrid w:val="0"/>
              <w:spacing w:line="360" w:lineRule="auto"/>
              <w:ind w:firstLine="482" w:firstLineChars="200"/>
              <w:rPr>
                <w:rFonts w:hint="eastAsia"/>
                <w:b/>
                <w:bCs/>
                <w:sz w:val="24"/>
              </w:rPr>
            </w:pPr>
            <w:r>
              <w:rPr>
                <w:rFonts w:hint="eastAsia"/>
                <w:b/>
                <w:bCs/>
                <w:sz w:val="24"/>
              </w:rPr>
              <w:t>工艺流程简述：</w:t>
            </w:r>
          </w:p>
          <w:p>
            <w:pPr>
              <w:adjustRightInd w:val="0"/>
              <w:snapToGrid w:val="0"/>
              <w:spacing w:line="360" w:lineRule="auto"/>
              <w:ind w:firstLine="482" w:firstLineChars="200"/>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外购、外协件进厂检验</w:t>
            </w:r>
            <w:r>
              <w:rPr>
                <w:rFonts w:hint="eastAsia" w:ascii="Times New Roman" w:hAnsi="Times New Roman" w:eastAsia="宋体" w:cs="Times New Roman"/>
                <w:b/>
                <w:bCs/>
                <w:i w:val="0"/>
                <w:iCs w:val="0"/>
                <w:sz w:val="24"/>
                <w:lang w:val="en-US" w:eastAsia="zh-CN"/>
              </w:rPr>
              <w:t>入库</w:t>
            </w:r>
            <w:r>
              <w:rPr>
                <w:rFonts w:hint="eastAsia" w:ascii="Times New Roman" w:hAnsi="Times New Roman" w:eastAsia="宋体" w:cs="Times New Roman"/>
                <w:b/>
                <w:bCs/>
                <w:sz w:val="24"/>
                <w:lang w:val="en-US" w:eastAsia="zh-CN"/>
              </w:rPr>
              <w:t>：</w:t>
            </w:r>
            <w:r>
              <w:rPr>
                <w:rFonts w:hint="eastAsia"/>
                <w:b w:val="0"/>
                <w:bCs w:val="0"/>
                <w:sz w:val="24"/>
                <w:lang w:val="en-US" w:eastAsia="zh-CN"/>
              </w:rPr>
              <w:t>一次性使用活检钳</w:t>
            </w:r>
            <w:r>
              <w:rPr>
                <w:rFonts w:hint="eastAsia" w:ascii="Times New Roman" w:hAnsi="Times New Roman" w:eastAsia="宋体" w:cs="Times New Roman"/>
                <w:b w:val="0"/>
                <w:bCs w:val="0"/>
                <w:sz w:val="24"/>
                <w:lang w:val="en-US" w:eastAsia="zh-CN"/>
              </w:rPr>
              <w:t>的配件均为外购，根据《进货检验规程》对配件进行检验，主要检查外购配件有无损害，检验合格后放入库房，检验不合格则退回厂家；</w:t>
            </w:r>
          </w:p>
          <w:p>
            <w:pPr>
              <w:adjustRightInd w:val="0"/>
              <w:snapToGrid w:val="0"/>
              <w:spacing w:line="360" w:lineRule="auto"/>
              <w:ind w:firstLine="482" w:firstLineChars="20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钳头组件装配：</w:t>
            </w:r>
            <w:r>
              <w:rPr>
                <w:rFonts w:hint="eastAsia" w:ascii="Times New Roman" w:hAnsi="Times New Roman" w:eastAsia="宋体" w:cs="Times New Roman"/>
                <w:b w:val="0"/>
                <w:bCs w:val="0"/>
                <w:sz w:val="24"/>
                <w:lang w:val="en-US" w:eastAsia="zh-CN"/>
              </w:rPr>
              <w:t>钳头组件主要由钳头、钳头架、不带针钳头架、钳头护套、缺口连杆等组成，手工组装</w:t>
            </w:r>
            <w:r>
              <w:rPr>
                <w:rFonts w:hint="eastAsia" w:ascii="宋体" w:hAnsi="宋体" w:eastAsia="宋体" w:cs="宋体"/>
                <w:b w:val="0"/>
                <w:bCs w:val="0"/>
                <w:sz w:val="24"/>
                <w:szCs w:val="24"/>
                <w:lang w:eastAsia="zh-CN"/>
              </w:rPr>
              <w:t>；</w:t>
            </w:r>
          </w:p>
          <w:p>
            <w:pPr>
              <w:adjustRightInd w:val="0"/>
              <w:snapToGrid w:val="0"/>
              <w:spacing w:line="360" w:lineRule="auto"/>
              <w:ind w:firstLine="482" w:firstLineChars="20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长铆钉焊接、弹簧管焊接：</w:t>
            </w:r>
            <w:r>
              <w:rPr>
                <w:rFonts w:hint="eastAsia" w:ascii="Times New Roman" w:hAnsi="Times New Roman" w:eastAsia="宋体" w:cs="Times New Roman"/>
                <w:b w:val="0"/>
                <w:bCs w:val="0"/>
                <w:sz w:val="24"/>
                <w:lang w:val="en-US" w:eastAsia="zh-CN"/>
              </w:rPr>
              <w:t>首先利用轴线去皮机对弹簧管去皮，通过激光焊接机将铆钉、弹簧管与钳头组件进行连接。激光焊接机的原理是利用激光束优异的方向性以及足够高的功率密度等特点进行工作。通过光学系统将激光束聚焦在很小的区域内，在极短的时间内使被焊处形成一个能量高度集中的热源区，从而使被焊物熔化并形成牢固的焊点和焊缝。本项目焊接口面积较小，焊接部位材质为不锈钢304以及不锈钢303，不使用焊接助剂，使用氮气进行焊接保护，且焊接时间极短，故无污染物产生。该过程产生废料S1-1，轴线去皮机以及激光焊接机运行时产生噪声N1-1；</w:t>
            </w:r>
          </w:p>
          <w:p>
            <w:pPr>
              <w:adjustRightInd w:val="0"/>
              <w:snapToGrid w:val="0"/>
              <w:spacing w:line="360" w:lineRule="auto"/>
              <w:ind w:firstLine="482" w:firstLineChars="20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拉索定长：</w:t>
            </w:r>
            <w:r>
              <w:rPr>
                <w:rFonts w:hint="eastAsia" w:ascii="Times New Roman" w:hAnsi="Times New Roman" w:eastAsia="宋体" w:cs="Times New Roman"/>
                <w:b w:val="0"/>
                <w:bCs w:val="0"/>
                <w:sz w:val="24"/>
                <w:lang w:val="en-US" w:eastAsia="zh-CN"/>
              </w:rPr>
              <w:t>拉索钢丝绳下料，手工使用剪刀裁断，产生剪切边角料S1-2；</w:t>
            </w:r>
          </w:p>
          <w:p>
            <w:pPr>
              <w:adjustRightInd w:val="0"/>
              <w:snapToGrid w:val="0"/>
              <w:spacing w:line="360" w:lineRule="auto"/>
              <w:ind w:firstLine="482"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b/>
                <w:bCs/>
                <w:sz w:val="24"/>
                <w:highlight w:val="none"/>
                <w:lang w:val="en-US" w:eastAsia="zh-CN"/>
              </w:rPr>
              <w:t>清洗：</w:t>
            </w:r>
            <w:r>
              <w:rPr>
                <w:rFonts w:hint="eastAsia" w:ascii="Times New Roman" w:hAnsi="Times New Roman" w:eastAsia="宋体" w:cs="Times New Roman"/>
                <w:sz w:val="24"/>
                <w:lang w:val="en-US" w:eastAsia="zh-CN"/>
              </w:rPr>
              <w:t>外购配件在出厂时已达到清洁的标准</w:t>
            </w:r>
            <w:r>
              <w:rPr>
                <w:rFonts w:hint="eastAsia" w:ascii="Times New Roman" w:hAnsi="Times New Roman" w:eastAsia="宋体" w:cs="Times New Roman"/>
                <w:sz w:val="24"/>
                <w:lang w:eastAsia="zh-CN"/>
              </w:rPr>
              <w:t>，</w:t>
            </w:r>
            <w:r>
              <w:rPr>
                <w:rFonts w:ascii="宋体" w:hAnsi="宋体" w:eastAsia="宋体" w:cs="宋体"/>
                <w:sz w:val="24"/>
                <w:szCs w:val="24"/>
              </w:rPr>
              <w:t>为了确保</w:t>
            </w:r>
            <w:r>
              <w:rPr>
                <w:rFonts w:hint="eastAsia" w:ascii="宋体" w:hAnsi="宋体" w:eastAsia="宋体" w:cs="宋体"/>
                <w:sz w:val="24"/>
                <w:szCs w:val="24"/>
                <w:lang w:val="en-US" w:eastAsia="zh-CN"/>
              </w:rPr>
              <w:t>焊接后配件</w:t>
            </w:r>
            <w:r>
              <w:rPr>
                <w:rFonts w:ascii="宋体" w:hAnsi="宋体" w:eastAsia="宋体" w:cs="宋体"/>
                <w:sz w:val="24"/>
                <w:szCs w:val="24"/>
              </w:rPr>
              <w:t>的洁净度，</w:t>
            </w:r>
            <w:r>
              <w:rPr>
                <w:rFonts w:hint="eastAsia" w:ascii="宋体" w:hAnsi="宋体" w:eastAsia="宋体" w:cs="宋体"/>
                <w:sz w:val="24"/>
                <w:szCs w:val="24"/>
                <w:lang w:val="en-US" w:eastAsia="zh-CN"/>
              </w:rPr>
              <w:t>先在粗洗间用超声波清洗一次，接着在洁净车间精洗间用超声波再清洗一次，以便除去</w:t>
            </w:r>
            <w:r>
              <w:rPr>
                <w:rFonts w:hint="eastAsia" w:ascii="宋体" w:hAnsi="宋体" w:eastAsia="宋体" w:cs="宋体"/>
                <w:sz w:val="24"/>
                <w:szCs w:val="24"/>
              </w:rPr>
              <w:t>工件表面</w:t>
            </w:r>
            <w:r>
              <w:rPr>
                <w:rFonts w:hint="eastAsia" w:ascii="宋体" w:hAnsi="宋体" w:eastAsia="宋体" w:cs="宋体"/>
                <w:sz w:val="24"/>
                <w:szCs w:val="24"/>
                <w:lang w:val="en-US" w:eastAsia="zh-CN"/>
              </w:rPr>
              <w:t>可能残留</w:t>
            </w:r>
            <w:r>
              <w:rPr>
                <w:rFonts w:hint="eastAsia" w:ascii="宋体" w:hAnsi="宋体" w:eastAsia="宋体" w:cs="宋体"/>
                <w:sz w:val="24"/>
                <w:szCs w:val="24"/>
              </w:rPr>
              <w:t>灰尘</w:t>
            </w:r>
            <w:r>
              <w:rPr>
                <w:rFonts w:hint="eastAsia" w:ascii="宋体" w:hAnsi="宋体" w:eastAsia="宋体" w:cs="宋体"/>
                <w:sz w:val="24"/>
                <w:szCs w:val="24"/>
                <w:lang w:eastAsia="zh-CN"/>
              </w:rPr>
              <w:t>。</w:t>
            </w:r>
            <w:r>
              <w:rPr>
                <w:rFonts w:hint="eastAsia" w:ascii="Times New Roman" w:hAnsi="Times New Roman" w:eastAsia="宋体" w:cs="Times New Roman"/>
                <w:sz w:val="24"/>
                <w:highlight w:val="none"/>
                <w:lang w:val="en-US" w:eastAsia="zh-CN"/>
              </w:rPr>
              <w:t>该过程产生清洗废水W1-1，超声波清洗机运行产生噪声N1-2；</w:t>
            </w:r>
          </w:p>
          <w:p>
            <w:pPr>
              <w:adjustRightInd w:val="0"/>
              <w:snapToGrid w:val="0"/>
              <w:spacing w:line="360" w:lineRule="auto"/>
              <w:ind w:firstLine="482" w:firstLineChars="200"/>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b/>
                <w:bCs/>
                <w:sz w:val="24"/>
                <w:highlight w:val="none"/>
                <w:lang w:val="en-US" w:eastAsia="zh-CN"/>
              </w:rPr>
              <w:t>烘干：</w:t>
            </w:r>
            <w:r>
              <w:rPr>
                <w:rFonts w:hint="eastAsia" w:ascii="Times New Roman" w:hAnsi="Times New Roman" w:eastAsia="宋体" w:cs="Times New Roman"/>
                <w:sz w:val="24"/>
                <w:highlight w:val="none"/>
                <w:lang w:val="en-US" w:eastAsia="zh-CN"/>
              </w:rPr>
              <w:t>清洗后使用烘箱烘干，烘干温度为155℃，烘干时间约为1h，烘干后自然冷却，烘干过程蒸发配件表面残留的水滴，无废气产生；</w:t>
            </w:r>
          </w:p>
          <w:p>
            <w:pPr>
              <w:adjustRightInd w:val="0"/>
              <w:snapToGrid w:val="0"/>
              <w:spacing w:line="360" w:lineRule="auto"/>
              <w:ind w:firstLine="482" w:firstLineChars="200"/>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穿PE管：</w:t>
            </w:r>
            <w:r>
              <w:rPr>
                <w:rFonts w:hint="eastAsia" w:ascii="Times New Roman" w:hAnsi="Times New Roman" w:eastAsia="宋体" w:cs="Times New Roman"/>
                <w:b w:val="0"/>
                <w:bCs w:val="0"/>
                <w:sz w:val="24"/>
                <w:lang w:val="en-US" w:eastAsia="zh-CN"/>
              </w:rPr>
              <w:t>用无尘布取少量硅油辅助，使拉索钢丝绳表面润滑，将PE外管穿至拉索钢丝绳表面，拉索位于外弹簧管之中，外弹簧管的一端与钳头架相连，弹簧外管及拉索的另一端均与手柄部分相连，该过程产生废擦拭布</w:t>
            </w:r>
            <w:r>
              <w:rPr>
                <w:rFonts w:hint="eastAsia" w:ascii="Times New Roman" w:hAnsi="Times New Roman" w:eastAsia="宋体" w:cs="Times New Roman"/>
                <w:sz w:val="24"/>
                <w:highlight w:val="none"/>
                <w:lang w:val="en-US" w:eastAsia="zh-CN"/>
              </w:rPr>
              <w:t>S1-3</w:t>
            </w:r>
            <w:r>
              <w:rPr>
                <w:rFonts w:hint="eastAsia" w:ascii="Times New Roman" w:hAnsi="Times New Roman" w:eastAsia="宋体" w:cs="Times New Roman"/>
                <w:b w:val="0"/>
                <w:bCs w:val="0"/>
                <w:sz w:val="24"/>
                <w:lang w:val="en-US" w:eastAsia="zh-CN"/>
              </w:rPr>
              <w:t>；</w:t>
            </w:r>
          </w:p>
          <w:p>
            <w:pPr>
              <w:adjustRightInd w:val="0"/>
              <w:snapToGrid w:val="0"/>
              <w:spacing w:line="360" w:lineRule="auto"/>
              <w:ind w:firstLine="482" w:firstLineChars="200"/>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装手柄：</w:t>
            </w:r>
            <w:r>
              <w:rPr>
                <w:rFonts w:hint="eastAsia" w:ascii="Times New Roman" w:hAnsi="Times New Roman" w:eastAsia="宋体" w:cs="Times New Roman"/>
                <w:b w:val="0"/>
                <w:bCs w:val="0"/>
                <w:sz w:val="24"/>
                <w:highlight w:val="none"/>
                <w:lang w:val="en-US" w:eastAsia="zh-CN"/>
              </w:rPr>
              <w:t>手柄采用卡扣结构，手</w:t>
            </w:r>
            <w:r>
              <w:rPr>
                <w:rFonts w:hint="eastAsia" w:ascii="Times New Roman" w:hAnsi="Times New Roman" w:eastAsia="宋体" w:cs="Times New Roman"/>
                <w:b w:val="0"/>
                <w:bCs w:val="0"/>
                <w:sz w:val="24"/>
                <w:lang w:val="en-US" w:eastAsia="zh-CN"/>
              </w:rPr>
              <w:t>工将手柄卡于外管末端；</w:t>
            </w:r>
          </w:p>
          <w:p>
            <w:pPr>
              <w:adjustRightInd w:val="0"/>
              <w:snapToGrid w:val="0"/>
              <w:spacing w:line="360" w:lineRule="auto"/>
              <w:ind w:firstLine="482"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b/>
                <w:bCs/>
                <w:sz w:val="24"/>
                <w:lang w:val="en-US" w:eastAsia="zh-CN"/>
              </w:rPr>
              <w:t>调整：</w:t>
            </w:r>
            <w:r>
              <w:rPr>
                <w:rFonts w:hint="eastAsia" w:ascii="Times New Roman" w:hAnsi="Times New Roman" w:eastAsia="宋体" w:cs="Times New Roman"/>
                <w:sz w:val="24"/>
                <w:lang w:val="en-US" w:eastAsia="zh-CN"/>
              </w:rPr>
              <w:t>将组装好的活检钳用放大显示屏辅助人工进行调整；</w:t>
            </w:r>
          </w:p>
          <w:p>
            <w:pPr>
              <w:adjustRightInd w:val="0"/>
              <w:snapToGrid w:val="0"/>
              <w:spacing w:line="360" w:lineRule="auto"/>
              <w:ind w:firstLine="482" w:firstLineChars="20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热封：</w:t>
            </w:r>
            <w:r>
              <w:rPr>
                <w:rFonts w:hint="eastAsia" w:ascii="Times New Roman" w:hAnsi="Times New Roman" w:eastAsia="宋体" w:cs="Times New Roman"/>
                <w:b w:val="0"/>
                <w:bCs w:val="0"/>
                <w:sz w:val="24"/>
                <w:highlight w:val="none"/>
                <w:lang w:val="en-US" w:eastAsia="zh-CN"/>
              </w:rPr>
              <w:t>外购包装袋对</w:t>
            </w:r>
            <w:r>
              <w:rPr>
                <w:rFonts w:hint="eastAsia" w:ascii="Times New Roman" w:hAnsi="Times New Roman" w:eastAsia="宋体" w:cs="Times New Roman"/>
                <w:sz w:val="24"/>
                <w:highlight w:val="none"/>
                <w:lang w:val="en-US" w:eastAsia="zh-CN"/>
              </w:rPr>
              <w:t>活检钳</w:t>
            </w:r>
            <w:r>
              <w:rPr>
                <w:rFonts w:hint="eastAsia" w:ascii="Times New Roman" w:hAnsi="Times New Roman" w:eastAsia="宋体" w:cs="Times New Roman"/>
                <w:b w:val="0"/>
                <w:bCs w:val="0"/>
                <w:sz w:val="24"/>
                <w:highlight w:val="none"/>
                <w:lang w:val="en-US" w:eastAsia="zh-CN"/>
              </w:rPr>
              <w:t>进行单个包装，</w:t>
            </w:r>
            <w:r>
              <w:rPr>
                <w:rFonts w:hint="eastAsia" w:ascii="Times New Roman" w:hAnsi="Times New Roman" w:eastAsia="宋体" w:cs="Times New Roman"/>
                <w:b w:val="0"/>
                <w:bCs w:val="0"/>
                <w:sz w:val="24"/>
                <w:lang w:val="en-US" w:eastAsia="zh-CN"/>
              </w:rPr>
              <w:t>用热封机封口并贴上标签，标有“无菌”、 “无热原”、“一次性使用”字样，制造厂或供应商的名称和地址，失效日期的年和月，注明规格等；</w:t>
            </w:r>
          </w:p>
          <w:p>
            <w:pPr>
              <w:adjustRightInd w:val="0"/>
              <w:snapToGrid w:val="0"/>
              <w:spacing w:line="360" w:lineRule="auto"/>
              <w:ind w:firstLine="482" w:firstLineChars="20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末道检验：</w:t>
            </w:r>
            <w:r>
              <w:rPr>
                <w:rFonts w:hint="eastAsia" w:ascii="Times New Roman" w:hAnsi="Times New Roman" w:eastAsia="宋体" w:cs="Times New Roman"/>
                <w:b w:val="0"/>
                <w:bCs w:val="0"/>
                <w:sz w:val="24"/>
                <w:lang w:val="en-US" w:eastAsia="zh-CN"/>
              </w:rPr>
              <w:t>根据《最终检验规程》对产品进行检验，主要由人工对产品外观进行检验，不合格的产品将各部件拆卸，可用的部件进行重复利用，其他部分作为固废</w:t>
            </w:r>
            <w:r>
              <w:rPr>
                <w:rFonts w:hint="eastAsia" w:ascii="Times New Roman" w:hAnsi="Times New Roman" w:eastAsia="宋体" w:cs="Times New Roman"/>
                <w:sz w:val="24"/>
                <w:highlight w:val="none"/>
                <w:lang w:val="en-US" w:eastAsia="zh-CN"/>
              </w:rPr>
              <w:t>S1-4</w:t>
            </w:r>
            <w:r>
              <w:rPr>
                <w:rFonts w:hint="eastAsia" w:ascii="Times New Roman" w:hAnsi="Times New Roman" w:eastAsia="宋体" w:cs="Times New Roman"/>
                <w:b w:val="0"/>
                <w:bCs w:val="0"/>
                <w:sz w:val="24"/>
                <w:lang w:val="en-US" w:eastAsia="zh-CN"/>
              </w:rPr>
              <w:t>；</w:t>
            </w:r>
          </w:p>
          <w:p>
            <w:pPr>
              <w:adjustRightInd w:val="0"/>
              <w:snapToGrid w:val="0"/>
              <w:spacing w:line="360" w:lineRule="auto"/>
              <w:ind w:firstLine="482" w:firstLineChars="200"/>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中包装、外包装：</w:t>
            </w:r>
            <w:r>
              <w:rPr>
                <w:rFonts w:hint="eastAsia" w:ascii="Times New Roman" w:hAnsi="Times New Roman" w:eastAsia="宋体" w:cs="Times New Roman"/>
                <w:b w:val="0"/>
                <w:bCs w:val="0"/>
                <w:sz w:val="24"/>
                <w:lang w:val="en-US" w:eastAsia="zh-CN"/>
              </w:rPr>
              <w:t>将合格的产品用热封机封口包装并贴上标签；</w:t>
            </w:r>
          </w:p>
          <w:p>
            <w:pPr>
              <w:adjustRightInd w:val="0"/>
              <w:snapToGrid w:val="0"/>
              <w:spacing w:line="360" w:lineRule="auto"/>
              <w:ind w:left="479" w:leftChars="228" w:firstLine="0" w:firstLineChars="0"/>
              <w:jc w:val="both"/>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b/>
                <w:bCs/>
                <w:sz w:val="24"/>
                <w:lang w:val="en-US" w:eastAsia="zh-CN"/>
              </w:rPr>
              <w:t>灭菌：</w:t>
            </w:r>
            <w:r>
              <w:rPr>
                <w:rFonts w:hint="eastAsia" w:ascii="Times New Roman" w:hAnsi="Times New Roman" w:eastAsia="宋体" w:cs="Times New Roman"/>
                <w:sz w:val="24"/>
                <w:highlight w:val="none"/>
                <w:lang w:val="en-US" w:eastAsia="zh-CN"/>
              </w:rPr>
              <w:t>包装完成后委托生物医学科技有限公司进行灭菌；</w:t>
            </w:r>
          </w:p>
          <w:p>
            <w:pPr>
              <w:adjustRightInd w:val="0"/>
              <w:snapToGrid w:val="0"/>
              <w:spacing w:line="360" w:lineRule="auto"/>
              <w:ind w:firstLine="482" w:firstLineChars="20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成品检验入库：</w:t>
            </w:r>
            <w:r>
              <w:rPr>
                <w:rFonts w:hint="eastAsia" w:ascii="Times New Roman" w:hAnsi="Times New Roman" w:eastAsia="宋体" w:cs="Times New Roman"/>
                <w:b w:val="0"/>
                <w:bCs w:val="0"/>
                <w:sz w:val="24"/>
                <w:lang w:val="en-US" w:eastAsia="zh-CN"/>
              </w:rPr>
              <w:t>包装装箱数量准确、包装箱无破损现象。若有不合格的产品则重新检验，合格产品放入库房。</w:t>
            </w:r>
          </w:p>
          <w:p>
            <w:pPr>
              <w:numPr>
                <w:ilvl w:val="0"/>
                <w:numId w:val="4"/>
              </w:numPr>
              <w:adjustRightInd w:val="0"/>
              <w:snapToGrid w:val="0"/>
              <w:jc w:val="left"/>
              <w:rPr>
                <w:rFonts w:hint="eastAsia"/>
                <w:color w:val="000000"/>
                <w:sz w:val="24"/>
              </w:rPr>
            </w:pPr>
            <w:r>
              <w:rPr>
                <w:rFonts w:hint="eastAsia"/>
                <w:b/>
                <w:bCs/>
                <w:sz w:val="24"/>
                <w:lang w:val="en-US" w:eastAsia="zh-CN"/>
              </w:rPr>
              <w:t>一次性使用电圈套器</w:t>
            </w:r>
            <w:r>
              <w:rPr>
                <w:rFonts w:hint="eastAsia" w:ascii="Times New Roman" w:hAnsi="Times New Roman" w:eastAsia="宋体" w:cs="Times New Roman"/>
                <w:b/>
                <w:bCs w:val="0"/>
                <w:color w:val="000000"/>
                <w:kern w:val="2"/>
                <w:sz w:val="24"/>
                <w:szCs w:val="24"/>
                <w:lang w:val="en-US" w:eastAsia="zh-CN" w:bidi="ar-SA"/>
              </w:rPr>
              <w:t>生产工艺流程及产污环节</w:t>
            </w:r>
          </w:p>
          <w:p>
            <w:pPr>
              <w:adjustRightInd w:val="0"/>
              <w:snapToGrid w:val="0"/>
              <w:spacing w:line="360" w:lineRule="auto"/>
              <w:jc w:val="center"/>
              <w:rPr>
                <w:rFonts w:hint="eastAsia" w:eastAsia="宋体"/>
                <w:sz w:val="24"/>
                <w:lang w:eastAsia="zh-CN"/>
              </w:rPr>
            </w:pPr>
            <w:r>
              <w:rPr>
                <w:rFonts w:hint="eastAsia" w:eastAsia="宋体"/>
                <w:sz w:val="24"/>
                <w:lang w:eastAsia="zh-CN"/>
              </w:rPr>
              <w:drawing>
                <wp:inline distT="0" distB="0" distL="114300" distR="114300">
                  <wp:extent cx="3914140" cy="5447030"/>
                  <wp:effectExtent l="0" t="0" r="0" b="0"/>
                  <wp:docPr id="4" name="ECB019B1-382A-4266-B25C-5B523AA43C14-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3" descr="wps"/>
                          <pic:cNvPicPr>
                            <a:picLocks noChangeAspect="1"/>
                          </pic:cNvPicPr>
                        </pic:nvPicPr>
                        <pic:blipFill>
                          <a:blip r:embed="rId12"/>
                          <a:stretch>
                            <a:fillRect/>
                          </a:stretch>
                        </pic:blipFill>
                        <pic:spPr>
                          <a:xfrm>
                            <a:off x="0" y="0"/>
                            <a:ext cx="3914140" cy="5447030"/>
                          </a:xfrm>
                          <a:prstGeom prst="rect">
                            <a:avLst/>
                          </a:prstGeom>
                          <a:noFill/>
                          <a:ln>
                            <a:noFill/>
                          </a:ln>
                        </pic:spPr>
                      </pic:pic>
                    </a:graphicData>
                  </a:graphic>
                </wp:inline>
              </w:drawing>
            </w:r>
          </w:p>
          <w:p>
            <w:pPr>
              <w:adjustRightInd w:val="0"/>
              <w:snapToGrid w:val="0"/>
              <w:spacing w:line="360" w:lineRule="auto"/>
              <w:ind w:firstLine="482" w:firstLineChars="200"/>
              <w:jc w:val="center"/>
              <w:rPr>
                <w:rFonts w:hint="eastAsia"/>
                <w:b/>
                <w:bCs/>
                <w:sz w:val="24"/>
              </w:rPr>
            </w:pPr>
            <w:r>
              <w:rPr>
                <w:rFonts w:hint="eastAsia"/>
                <w:b/>
                <w:bCs/>
                <w:sz w:val="24"/>
                <w:lang w:eastAsia="zh-CN"/>
              </w:rPr>
              <w:t>图</w:t>
            </w:r>
            <w:r>
              <w:rPr>
                <w:rFonts w:hint="eastAsia"/>
                <w:b/>
                <w:bCs/>
                <w:sz w:val="24"/>
                <w:lang w:val="en-US" w:eastAsia="zh-CN"/>
              </w:rPr>
              <w:t>2-3  一次性使用电圈套器生产工艺流程及产污环节图</w:t>
            </w:r>
          </w:p>
          <w:p>
            <w:pPr>
              <w:adjustRightInd w:val="0"/>
              <w:snapToGrid w:val="0"/>
              <w:spacing w:line="360" w:lineRule="auto"/>
              <w:ind w:firstLine="482" w:firstLineChars="200"/>
              <w:rPr>
                <w:rFonts w:hint="eastAsia"/>
                <w:b/>
                <w:bCs/>
                <w:sz w:val="24"/>
              </w:rPr>
            </w:pPr>
            <w:r>
              <w:rPr>
                <w:rFonts w:hint="eastAsia"/>
                <w:b/>
                <w:bCs/>
                <w:sz w:val="24"/>
              </w:rPr>
              <w:t>工艺流程简述：</w:t>
            </w:r>
          </w:p>
          <w:p>
            <w:pPr>
              <w:adjustRightInd w:val="0"/>
              <w:snapToGrid w:val="0"/>
              <w:spacing w:line="360" w:lineRule="auto"/>
              <w:ind w:firstLine="482" w:firstLineChars="200"/>
              <w:rPr>
                <w:rFonts w:hint="default" w:ascii="Times New Roman" w:hAnsi="Times New Roman" w:eastAsia="宋体" w:cs="Times New Roman"/>
                <w:b w:val="0"/>
                <w:bCs w:val="0"/>
                <w:sz w:val="24"/>
                <w:lang w:val="en-US" w:eastAsia="zh-CN"/>
              </w:rPr>
            </w:pPr>
            <w:r>
              <w:rPr>
                <w:rFonts w:hint="eastAsia"/>
                <w:b/>
                <w:bCs/>
                <w:sz w:val="24"/>
                <w:lang w:val="en-US" w:eastAsia="zh-CN"/>
              </w:rPr>
              <w:t>外购、外协件进厂、检验入库：</w:t>
            </w:r>
            <w:r>
              <w:rPr>
                <w:rFonts w:hint="eastAsia"/>
                <w:b w:val="0"/>
                <w:bCs w:val="0"/>
                <w:sz w:val="24"/>
                <w:lang w:val="en-US" w:eastAsia="zh-CN"/>
              </w:rPr>
              <w:t>一次性使用电圈套器</w:t>
            </w:r>
            <w:r>
              <w:rPr>
                <w:rFonts w:hint="eastAsia" w:ascii="Times New Roman" w:hAnsi="Times New Roman" w:eastAsia="宋体" w:cs="Times New Roman"/>
                <w:b w:val="0"/>
                <w:bCs w:val="0"/>
                <w:sz w:val="24"/>
                <w:lang w:val="en-US" w:eastAsia="zh-CN"/>
              </w:rPr>
              <w:t>的配件均为外购，根据《进货检验规程》对配件进行检验，主要检查外购配件有无损害，检验合格后放入库房，检验不合格则退回厂家；</w:t>
            </w:r>
          </w:p>
          <w:p>
            <w:pPr>
              <w:adjustRightInd w:val="0"/>
              <w:snapToGrid w:val="0"/>
              <w:spacing w:line="360" w:lineRule="auto"/>
              <w:ind w:firstLine="482" w:firstLineChars="200"/>
              <w:rPr>
                <w:rFonts w:hint="default"/>
                <w:b w:val="0"/>
                <w:bCs w:val="0"/>
                <w:sz w:val="24"/>
                <w:highlight w:val="none"/>
                <w:lang w:val="en-US" w:eastAsia="zh-CN"/>
              </w:rPr>
            </w:pPr>
            <w:r>
              <w:rPr>
                <w:rFonts w:hint="eastAsia"/>
                <w:b/>
                <w:bCs/>
                <w:sz w:val="24"/>
                <w:highlight w:val="none"/>
                <w:lang w:val="en-US" w:eastAsia="zh-CN"/>
              </w:rPr>
              <w:t>电圈成型、圈头铆压：</w:t>
            </w:r>
            <w:r>
              <w:rPr>
                <w:rFonts w:hint="eastAsia"/>
                <w:b w:val="0"/>
                <w:bCs w:val="0"/>
                <w:sz w:val="24"/>
                <w:highlight w:val="none"/>
                <w:lang w:val="en-US" w:eastAsia="zh-CN"/>
              </w:rPr>
              <w:t>将钢丝绳（软）利用模具手工定型成圈；手动对圈头施加压力固定；</w:t>
            </w:r>
          </w:p>
          <w:p>
            <w:pPr>
              <w:adjustRightInd w:val="0"/>
              <w:snapToGrid w:val="0"/>
              <w:spacing w:line="360" w:lineRule="auto"/>
              <w:ind w:firstLine="482" w:firstLineChars="200"/>
              <w:rPr>
                <w:rFonts w:hint="default"/>
                <w:b w:val="0"/>
                <w:bCs w:val="0"/>
                <w:sz w:val="24"/>
                <w:lang w:val="en-US" w:eastAsia="zh-CN"/>
              </w:rPr>
            </w:pPr>
            <w:r>
              <w:rPr>
                <w:rFonts w:hint="eastAsia"/>
                <w:b/>
                <w:bCs/>
                <w:sz w:val="24"/>
                <w:lang w:val="en-US" w:eastAsia="zh-CN"/>
              </w:rPr>
              <w:t>抛光：</w:t>
            </w:r>
            <w:r>
              <w:rPr>
                <w:rFonts w:hint="eastAsia"/>
                <w:b w:val="0"/>
                <w:bCs w:val="0"/>
                <w:sz w:val="24"/>
                <w:lang w:val="en-US" w:eastAsia="zh-CN"/>
              </w:rPr>
              <w:t>使用磁力研磨机在水箱中对电圈套器整体进行研磨，</w:t>
            </w:r>
            <w:r>
              <w:rPr>
                <w:rFonts w:hint="eastAsia" w:ascii="Times New Roman" w:hAnsi="Times New Roman" w:eastAsia="宋体" w:cs="Times New Roman"/>
                <w:b w:val="0"/>
                <w:bCs w:val="0"/>
                <w:spacing w:val="-2"/>
                <w:kern w:val="28"/>
                <w:sz w:val="24"/>
                <w:lang w:val="en-US" w:eastAsia="zh-CN"/>
              </w:rPr>
              <w:t>磁力研磨机是在传统研磨机的不足与缺陷上进行改革创新，使精密工件内孔、死角、细小夹缝起到明显较好的抛光研磨去除毛刺的效果</w:t>
            </w:r>
            <w:r>
              <w:rPr>
                <w:rFonts w:hint="eastAsia"/>
                <w:b w:val="0"/>
                <w:bCs w:val="0"/>
                <w:sz w:val="24"/>
                <w:lang w:val="en-US" w:eastAsia="zh-CN"/>
              </w:rPr>
              <w:t>，该过程产生</w:t>
            </w:r>
            <w:r>
              <w:rPr>
                <w:rFonts w:hint="eastAsia"/>
                <w:lang w:val="en-US" w:eastAsia="zh-CN"/>
              </w:rPr>
              <w:t>废液</w:t>
            </w:r>
            <w:r>
              <w:rPr>
                <w:rFonts w:hint="eastAsia"/>
                <w:b w:val="0"/>
                <w:bCs w:val="0"/>
                <w:sz w:val="24"/>
                <w:lang w:val="en-US" w:eastAsia="zh-CN"/>
              </w:rPr>
              <w:t>S2-1，磁力研磨机运行噪声N2-1；</w:t>
            </w:r>
          </w:p>
          <w:p>
            <w:pPr>
              <w:adjustRightInd w:val="0"/>
              <w:snapToGrid w:val="0"/>
              <w:spacing w:line="360" w:lineRule="auto"/>
              <w:ind w:firstLine="482" w:firstLineChars="200"/>
              <w:rPr>
                <w:rFonts w:hint="eastAsia" w:ascii="Times New Roman" w:hAnsi="Times New Roman" w:eastAsia="宋体" w:cs="Times New Roman"/>
                <w:b w:val="0"/>
                <w:bCs w:val="0"/>
                <w:sz w:val="24"/>
                <w:lang w:val="en-US" w:eastAsia="zh-CN"/>
              </w:rPr>
            </w:pPr>
            <w:r>
              <w:rPr>
                <w:rFonts w:hint="eastAsia"/>
                <w:b/>
                <w:bCs/>
                <w:sz w:val="24"/>
                <w:lang w:val="en-US" w:eastAsia="zh-CN"/>
              </w:rPr>
              <w:t>清洗：</w:t>
            </w:r>
            <w:r>
              <w:rPr>
                <w:rFonts w:hint="eastAsia"/>
                <w:b w:val="0"/>
                <w:bCs w:val="0"/>
                <w:sz w:val="24"/>
                <w:lang w:val="en-US" w:eastAsia="zh-CN"/>
              </w:rPr>
              <w:t>外购配件在出厂时已达到清洁的标准，</w:t>
            </w:r>
            <w:r>
              <w:rPr>
                <w:rFonts w:hint="eastAsia" w:ascii="Times New Roman" w:hAnsi="Times New Roman" w:eastAsia="宋体" w:cs="Times New Roman"/>
                <w:b w:val="0"/>
                <w:bCs w:val="0"/>
                <w:sz w:val="24"/>
                <w:lang w:val="en-US" w:eastAsia="zh-CN"/>
              </w:rPr>
              <w:t>将电圈套器放入水槽中，</w:t>
            </w:r>
            <w:r>
              <w:rPr>
                <w:rFonts w:hint="eastAsia" w:ascii="宋体" w:hAnsi="宋体" w:eastAsia="宋体" w:cs="宋体"/>
                <w:sz w:val="24"/>
                <w:szCs w:val="24"/>
                <w:lang w:val="en-US" w:eastAsia="zh-CN"/>
              </w:rPr>
              <w:t>先在粗洗间用超声波清洗一次，接着在洁净车间精洗间用超声波再清洗一次</w:t>
            </w:r>
            <w:r>
              <w:rPr>
                <w:rFonts w:hint="eastAsia"/>
                <w:b w:val="0"/>
                <w:bCs w:val="0"/>
                <w:sz w:val="24"/>
                <w:lang w:val="en-US" w:eastAsia="zh-CN"/>
              </w:rPr>
              <w:t>，以便除去工件表面可能残留灰尘。该过程产生清洗废水W1-1，超声波运行产生噪声N2-2；</w:t>
            </w:r>
          </w:p>
          <w:p>
            <w:pPr>
              <w:adjustRightInd w:val="0"/>
              <w:snapToGrid w:val="0"/>
              <w:spacing w:line="360" w:lineRule="auto"/>
              <w:ind w:firstLine="482" w:firstLineChars="200"/>
              <w:rPr>
                <w:rFonts w:hint="default" w:ascii="Times New Roman" w:hAnsi="Times New Roman" w:eastAsia="宋体" w:cs="Times New Roman"/>
                <w:b w:val="0"/>
                <w:bCs w:val="0"/>
                <w:sz w:val="24"/>
                <w:highlight w:val="none"/>
                <w:lang w:val="en-US" w:eastAsia="zh-CN"/>
              </w:rPr>
            </w:pPr>
            <w:r>
              <w:rPr>
                <w:rFonts w:hint="eastAsia"/>
                <w:b/>
                <w:bCs/>
                <w:sz w:val="24"/>
                <w:highlight w:val="none"/>
                <w:lang w:val="en-US" w:eastAsia="zh-CN"/>
              </w:rPr>
              <w:t>管鞘、护套管与手柄连接：</w:t>
            </w:r>
            <w:r>
              <w:rPr>
                <w:rFonts w:hint="eastAsia"/>
                <w:b w:val="0"/>
                <w:bCs w:val="0"/>
                <w:sz w:val="24"/>
                <w:highlight w:val="none"/>
                <w:lang w:val="en-US" w:eastAsia="zh-CN"/>
              </w:rPr>
              <w:t>管鞘与护套管下料，管鞘、护套管与手柄手工施加压力组装；</w:t>
            </w:r>
          </w:p>
          <w:p>
            <w:pPr>
              <w:adjustRightInd w:val="0"/>
              <w:snapToGrid w:val="0"/>
              <w:spacing w:line="360" w:lineRule="auto"/>
              <w:ind w:firstLine="482" w:firstLineChars="200"/>
              <w:rPr>
                <w:rFonts w:hint="default"/>
                <w:b/>
                <w:bCs/>
                <w:sz w:val="24"/>
                <w:highlight w:val="yellow"/>
                <w:lang w:val="en-US" w:eastAsia="zh-CN"/>
              </w:rPr>
            </w:pPr>
            <w:r>
              <w:rPr>
                <w:rFonts w:hint="eastAsia"/>
                <w:b/>
                <w:bCs/>
                <w:sz w:val="24"/>
                <w:highlight w:val="none"/>
                <w:lang w:val="en-US" w:eastAsia="zh-CN"/>
              </w:rPr>
              <w:t>管鞘定长：</w:t>
            </w:r>
            <w:r>
              <w:rPr>
                <w:rFonts w:hint="eastAsia"/>
                <w:b w:val="0"/>
                <w:bCs w:val="0"/>
                <w:sz w:val="24"/>
                <w:highlight w:val="none"/>
                <w:lang w:val="en-US" w:eastAsia="zh-CN"/>
              </w:rPr>
              <w:t>手工调整管鞘长度，</w:t>
            </w:r>
            <w:r>
              <w:rPr>
                <w:rFonts w:hint="eastAsia" w:ascii="Times New Roman" w:hAnsi="Times New Roman" w:eastAsia="宋体" w:cs="Times New Roman"/>
                <w:b w:val="0"/>
                <w:bCs w:val="0"/>
                <w:sz w:val="24"/>
                <w:lang w:val="en-US" w:eastAsia="zh-CN"/>
              </w:rPr>
              <w:t>产生剪切边角料S2-2</w:t>
            </w:r>
            <w:r>
              <w:rPr>
                <w:rFonts w:hint="eastAsia"/>
                <w:b w:val="0"/>
                <w:bCs w:val="0"/>
                <w:sz w:val="24"/>
                <w:highlight w:val="none"/>
                <w:lang w:val="en-US" w:eastAsia="zh-CN"/>
              </w:rPr>
              <w:t>；</w:t>
            </w:r>
          </w:p>
          <w:p>
            <w:pPr>
              <w:adjustRightInd w:val="0"/>
              <w:snapToGrid w:val="0"/>
              <w:spacing w:line="360" w:lineRule="auto"/>
              <w:ind w:firstLine="482" w:firstLineChars="200"/>
              <w:rPr>
                <w:rFonts w:hint="eastAsia" w:ascii="Times New Roman" w:hAnsi="Times New Roman" w:eastAsia="宋体" w:cs="Times New Roman"/>
                <w:sz w:val="24"/>
                <w:highlight w:val="none"/>
                <w:lang w:val="en-US" w:eastAsia="zh-CN"/>
              </w:rPr>
            </w:pPr>
            <w:r>
              <w:rPr>
                <w:rFonts w:hint="eastAsia"/>
                <w:b/>
                <w:bCs/>
                <w:sz w:val="24"/>
                <w:highlight w:val="none"/>
                <w:lang w:val="en-US" w:eastAsia="zh-CN"/>
              </w:rPr>
              <w:t>电圈组件与外管装配：</w:t>
            </w:r>
            <w:r>
              <w:rPr>
                <w:rFonts w:hint="eastAsia" w:ascii="Times New Roman" w:hAnsi="Times New Roman" w:eastAsia="宋体" w:cs="Times New Roman"/>
                <w:sz w:val="24"/>
              </w:rPr>
              <w:t>通过激光焊接机，</w:t>
            </w:r>
            <w:r>
              <w:rPr>
                <w:rFonts w:hint="eastAsia" w:ascii="Times New Roman" w:hAnsi="Times New Roman" w:eastAsia="宋体" w:cs="Times New Roman"/>
                <w:sz w:val="24"/>
                <w:highlight w:val="none"/>
              </w:rPr>
              <w:t>采取</w:t>
            </w:r>
            <w:r>
              <w:rPr>
                <w:rFonts w:hint="eastAsia" w:ascii="Times New Roman" w:hAnsi="Times New Roman" w:eastAsia="宋体" w:cs="Times New Roman"/>
                <w:sz w:val="24"/>
                <w:highlight w:val="none"/>
                <w:lang w:val="en-US" w:eastAsia="zh-CN"/>
              </w:rPr>
              <w:t>热熔焊</w:t>
            </w:r>
            <w:r>
              <w:rPr>
                <w:rFonts w:hint="eastAsia" w:ascii="Times New Roman" w:hAnsi="Times New Roman" w:eastAsia="宋体" w:cs="Times New Roman"/>
                <w:sz w:val="24"/>
                <w:highlight w:val="none"/>
              </w:rPr>
              <w:t>的方式，</w:t>
            </w:r>
            <w:r>
              <w:rPr>
                <w:rFonts w:hint="eastAsia"/>
                <w:b w:val="0"/>
                <w:bCs w:val="0"/>
                <w:sz w:val="24"/>
                <w:highlight w:val="none"/>
                <w:lang w:val="en-US" w:eastAsia="zh-CN"/>
              </w:rPr>
              <w:t>将电圈组件（不锈钢）与外管（不锈钢）装配；</w:t>
            </w:r>
            <w:r>
              <w:rPr>
                <w:rFonts w:hint="eastAsia" w:ascii="Times New Roman" w:hAnsi="Times New Roman" w:eastAsia="宋体" w:cs="Times New Roman"/>
                <w:b w:val="0"/>
                <w:bCs w:val="0"/>
                <w:sz w:val="24"/>
                <w:lang w:val="en-US" w:eastAsia="zh-CN"/>
              </w:rPr>
              <w:t>本项目焊接口面积较小，焊接部位材质为不锈钢，不使用焊接助剂，使用氮气进行焊接保护，且焊接时间极短，故无污染物产生。</w:t>
            </w:r>
            <w:r>
              <w:rPr>
                <w:rFonts w:hint="eastAsia" w:ascii="Times New Roman" w:hAnsi="Times New Roman" w:eastAsia="宋体" w:cs="Times New Roman"/>
                <w:sz w:val="24"/>
                <w:highlight w:val="none"/>
                <w:lang w:val="en-US" w:eastAsia="zh-CN"/>
              </w:rPr>
              <w:t>激光焊接机运行产生噪声N2-3；</w:t>
            </w:r>
          </w:p>
          <w:p>
            <w:pPr>
              <w:adjustRightInd w:val="0"/>
              <w:snapToGrid w:val="0"/>
              <w:spacing w:line="360" w:lineRule="auto"/>
              <w:ind w:firstLine="482" w:firstLineChars="200"/>
              <w:rPr>
                <w:rFonts w:hint="default" w:ascii="Times New Roman" w:hAnsi="Times New Roman" w:eastAsia="宋体" w:cs="Times New Roman"/>
                <w:b w:val="0"/>
                <w:bCs w:val="0"/>
                <w:sz w:val="24"/>
                <w:lang w:val="en-US" w:eastAsia="zh-CN"/>
              </w:rPr>
            </w:pPr>
            <w:r>
              <w:rPr>
                <w:rFonts w:hint="eastAsia"/>
                <w:b/>
                <w:bCs/>
                <w:sz w:val="24"/>
                <w:highlight w:val="none"/>
                <w:lang w:val="en-US" w:eastAsia="zh-CN"/>
              </w:rPr>
              <w:t>固定助推管及手柄装配:</w:t>
            </w:r>
            <w:r>
              <w:rPr>
                <w:rFonts w:hint="eastAsia" w:ascii="Times New Roman" w:hAnsi="Times New Roman" w:eastAsia="宋体" w:cs="Times New Roman"/>
                <w:b w:val="0"/>
                <w:bCs w:val="0"/>
                <w:sz w:val="24"/>
                <w:lang w:val="en-US" w:eastAsia="zh-CN"/>
              </w:rPr>
              <w:t>手柄连接处使用卡扣结构，手工将固定助推管与手柄装配；</w:t>
            </w:r>
          </w:p>
          <w:p>
            <w:pPr>
              <w:adjustRightInd w:val="0"/>
              <w:snapToGrid w:val="0"/>
              <w:spacing w:line="360" w:lineRule="auto"/>
              <w:ind w:firstLine="482" w:firstLineChars="200"/>
              <w:rPr>
                <w:rFonts w:hint="eastAsia" w:ascii="Times New Roman" w:hAnsi="Times New Roman" w:eastAsia="宋体" w:cs="Times New Roman"/>
                <w:b w:val="0"/>
                <w:bCs w:val="0"/>
                <w:sz w:val="24"/>
                <w:lang w:val="en-US" w:eastAsia="zh-CN"/>
              </w:rPr>
            </w:pPr>
            <w:r>
              <w:rPr>
                <w:rFonts w:hint="eastAsia"/>
                <w:b/>
                <w:bCs/>
                <w:sz w:val="24"/>
                <w:lang w:val="en-US" w:eastAsia="zh-CN"/>
              </w:rPr>
              <w:t>末道检验：</w:t>
            </w:r>
            <w:r>
              <w:rPr>
                <w:rFonts w:hint="eastAsia" w:ascii="Times New Roman" w:hAnsi="Times New Roman" w:eastAsia="宋体" w:cs="Times New Roman"/>
                <w:b w:val="0"/>
                <w:bCs w:val="0"/>
                <w:sz w:val="24"/>
                <w:lang w:val="en-US" w:eastAsia="zh-CN"/>
              </w:rPr>
              <w:t>根据《最终检验规程》对产品进行检验，主要由人工对产品外观进行检验，不合格的产品将各部件拆卸，可用的部件进行重复利用，其他部分作为固废</w:t>
            </w:r>
            <w:r>
              <w:rPr>
                <w:rFonts w:hint="eastAsia" w:ascii="Times New Roman" w:hAnsi="Times New Roman" w:eastAsia="宋体" w:cs="Times New Roman"/>
                <w:sz w:val="24"/>
                <w:highlight w:val="none"/>
                <w:lang w:val="en-US" w:eastAsia="zh-CN"/>
              </w:rPr>
              <w:t>S2-3</w:t>
            </w:r>
            <w:r>
              <w:rPr>
                <w:rFonts w:hint="eastAsia" w:ascii="Times New Roman" w:hAnsi="Times New Roman" w:eastAsia="宋体" w:cs="Times New Roman"/>
                <w:b w:val="0"/>
                <w:bCs w:val="0"/>
                <w:sz w:val="24"/>
                <w:lang w:val="en-US" w:eastAsia="zh-CN"/>
              </w:rPr>
              <w:t>；</w:t>
            </w:r>
          </w:p>
          <w:p>
            <w:pPr>
              <w:adjustRightInd w:val="0"/>
              <w:snapToGrid w:val="0"/>
              <w:spacing w:line="360" w:lineRule="auto"/>
              <w:ind w:firstLine="482" w:firstLineChars="200"/>
              <w:rPr>
                <w:rFonts w:hint="eastAsia" w:ascii="Times New Roman" w:hAnsi="Times New Roman" w:eastAsia="宋体" w:cs="Times New Roman"/>
                <w:b w:val="0"/>
                <w:bCs w:val="0"/>
                <w:sz w:val="24"/>
                <w:lang w:val="en-US" w:eastAsia="zh-CN"/>
              </w:rPr>
            </w:pPr>
            <w:r>
              <w:rPr>
                <w:rFonts w:hint="eastAsia"/>
                <w:b/>
                <w:bCs/>
                <w:sz w:val="24"/>
                <w:lang w:val="en-US" w:eastAsia="zh-CN"/>
              </w:rPr>
              <w:t>热封包装</w:t>
            </w:r>
            <w:r>
              <w:rPr>
                <w:rFonts w:hint="eastAsia" w:ascii="Times New Roman" w:hAnsi="Times New Roman" w:eastAsia="宋体" w:cs="Times New Roman"/>
                <w:b/>
                <w:bCs/>
                <w:sz w:val="24"/>
                <w:lang w:val="en-US" w:eastAsia="zh-CN"/>
              </w:rPr>
              <w:t>：</w:t>
            </w:r>
            <w:r>
              <w:rPr>
                <w:rFonts w:hint="eastAsia" w:ascii="Times New Roman" w:hAnsi="Times New Roman" w:eastAsia="宋体" w:cs="Times New Roman"/>
                <w:b w:val="0"/>
                <w:bCs w:val="0"/>
                <w:sz w:val="24"/>
                <w:lang w:val="en-US" w:eastAsia="zh-CN"/>
              </w:rPr>
              <w:t>外购包装袋对电圈套器进行单个包装，使用热封机封口并贴上标签，标签应包含内装物的说明，标有“无菌”、 “无热原”、“一次性使用”字样，制造厂或供应商的名称和地址，失效日期的年和月，注明规格等；接着将单包装装入中包装内，同样贴写标签；最后进行外包装，外包装在单包装的标签基础上添加运输、贮存、搬运的要求；</w:t>
            </w:r>
          </w:p>
          <w:p>
            <w:pPr>
              <w:adjustRightInd w:val="0"/>
              <w:snapToGrid w:val="0"/>
              <w:spacing w:line="360" w:lineRule="auto"/>
              <w:ind w:firstLine="482"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b/>
                <w:bCs/>
                <w:sz w:val="24"/>
                <w:lang w:val="en-US" w:eastAsia="zh-CN"/>
              </w:rPr>
              <w:t>灭菌：</w:t>
            </w:r>
            <w:r>
              <w:rPr>
                <w:rFonts w:hint="eastAsia" w:ascii="Times New Roman" w:hAnsi="Times New Roman" w:eastAsia="宋体" w:cs="Times New Roman"/>
                <w:sz w:val="24"/>
                <w:highlight w:val="none"/>
                <w:lang w:val="en-US" w:eastAsia="zh-CN"/>
              </w:rPr>
              <w:t>包装完成后委托生物医学科技有限公司进行灭菌；</w:t>
            </w:r>
          </w:p>
          <w:p>
            <w:pPr>
              <w:adjustRightInd w:val="0"/>
              <w:snapToGrid w:val="0"/>
              <w:spacing w:line="360" w:lineRule="auto"/>
              <w:ind w:firstLine="482" w:firstLineChars="200"/>
              <w:rPr>
                <w:rFonts w:hint="eastAsia" w:ascii="Times New Roman" w:hAnsi="Times New Roman" w:eastAsia="宋体" w:cs="Times New Roman"/>
                <w:b/>
                <w:bCs w:val="0"/>
                <w:color w:val="000000"/>
                <w:kern w:val="2"/>
                <w:sz w:val="24"/>
                <w:szCs w:val="24"/>
                <w:lang w:val="en-US" w:eastAsia="zh-CN" w:bidi="ar-SA"/>
              </w:rPr>
            </w:pPr>
            <w:r>
              <w:rPr>
                <w:rFonts w:hint="eastAsia" w:ascii="Times New Roman" w:hAnsi="Times New Roman" w:eastAsia="宋体" w:cs="Times New Roman"/>
                <w:b/>
                <w:bCs/>
                <w:sz w:val="24"/>
                <w:lang w:val="en-US" w:eastAsia="zh-CN"/>
              </w:rPr>
              <w:t>成品检验入库：</w:t>
            </w:r>
            <w:r>
              <w:rPr>
                <w:rFonts w:hint="eastAsia" w:ascii="Times New Roman" w:hAnsi="Times New Roman" w:eastAsia="宋体" w:cs="Times New Roman"/>
                <w:b w:val="0"/>
                <w:bCs w:val="0"/>
                <w:sz w:val="24"/>
                <w:lang w:val="en-US" w:eastAsia="zh-CN"/>
              </w:rPr>
              <w:t>外包装装箱数量准确、包装箱无破损现象。若有不合格的产品则重新检验，合格产品放入库房。</w:t>
            </w:r>
          </w:p>
          <w:p>
            <w:pPr>
              <w:adjustRightInd w:val="0"/>
              <w:snapToGrid w:val="0"/>
              <w:jc w:val="left"/>
              <w:rPr>
                <w:rFonts w:hint="default" w:ascii="Times New Roman" w:hAnsi="Times New Roman" w:eastAsia="宋体" w:cs="Times New Roman"/>
                <w:sz w:val="24"/>
                <w:lang w:val="en-US" w:eastAsia="zh-CN"/>
              </w:rPr>
            </w:pPr>
            <w:r>
              <w:rPr>
                <w:rFonts w:hint="eastAsia" w:ascii="Times New Roman" w:hAnsi="Times New Roman" w:eastAsia="宋体" w:cs="Times New Roman"/>
                <w:b/>
                <w:bCs w:val="0"/>
                <w:color w:val="000000"/>
                <w:kern w:val="2"/>
                <w:sz w:val="24"/>
                <w:szCs w:val="24"/>
                <w:lang w:val="en-US" w:eastAsia="zh-CN" w:bidi="ar-SA"/>
              </w:rPr>
              <w:t>（3）</w:t>
            </w:r>
            <w:r>
              <w:rPr>
                <w:rFonts w:hint="eastAsia"/>
                <w:b/>
                <w:bCs/>
                <w:sz w:val="24"/>
                <w:lang w:val="en-US" w:eastAsia="zh-CN"/>
              </w:rPr>
              <w:t>一</w:t>
            </w:r>
            <w:r>
              <w:rPr>
                <w:rFonts w:hint="eastAsia" w:ascii="Times New Roman" w:hAnsi="Times New Roman" w:eastAsia="宋体" w:cs="Times New Roman"/>
                <w:b/>
                <w:bCs/>
                <w:sz w:val="24"/>
                <w:lang w:val="en-US" w:eastAsia="zh-CN"/>
              </w:rPr>
              <w:t>次性使用注射针</w:t>
            </w:r>
            <w:r>
              <w:rPr>
                <w:rFonts w:hint="eastAsia"/>
                <w:b/>
                <w:bCs/>
                <w:sz w:val="24"/>
                <w:lang w:val="en-US" w:eastAsia="zh-CN"/>
              </w:rPr>
              <w:t>器</w:t>
            </w:r>
            <w:r>
              <w:rPr>
                <w:rFonts w:hint="eastAsia" w:ascii="Times New Roman" w:hAnsi="Times New Roman" w:eastAsia="宋体" w:cs="Times New Roman"/>
                <w:b/>
                <w:bCs w:val="0"/>
                <w:color w:val="000000"/>
                <w:kern w:val="2"/>
                <w:sz w:val="24"/>
                <w:szCs w:val="24"/>
                <w:lang w:val="en-US" w:eastAsia="zh-CN" w:bidi="ar-SA"/>
              </w:rPr>
              <w:t>生产工艺流程及产污环节</w:t>
            </w:r>
            <w:r>
              <w:rPr>
                <w:rFonts w:hint="eastAsia" w:ascii="Times New Roman" w:hAnsi="Times New Roman" w:eastAsia="宋体" w:cs="Times New Roman"/>
                <w:sz w:val="24"/>
              </w:rPr>
              <w:br w:type="textWrapping"/>
            </w:r>
            <w:r>
              <w:rPr>
                <w:rFonts w:hint="default" w:ascii="Times New Roman" w:hAnsi="Times New Roman" w:eastAsia="宋体" w:cs="Times New Roman"/>
                <w:sz w:val="24"/>
                <w:lang w:val="en-US" w:eastAsia="zh-CN"/>
              </w:rPr>
              <w:drawing>
                <wp:inline distT="0" distB="0" distL="114300" distR="114300">
                  <wp:extent cx="4581525" cy="5868035"/>
                  <wp:effectExtent l="0" t="0" r="0" b="0"/>
                  <wp:docPr id="5" name="ECB019B1-382A-4266-B25C-5B523AA43C14-4"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4" descr="wps"/>
                          <pic:cNvPicPr>
                            <a:picLocks noChangeAspect="1"/>
                          </pic:cNvPicPr>
                        </pic:nvPicPr>
                        <pic:blipFill>
                          <a:blip r:embed="rId13"/>
                          <a:stretch>
                            <a:fillRect/>
                          </a:stretch>
                        </pic:blipFill>
                        <pic:spPr>
                          <a:xfrm>
                            <a:off x="0" y="0"/>
                            <a:ext cx="4581525" cy="5868035"/>
                          </a:xfrm>
                          <a:prstGeom prst="rect">
                            <a:avLst/>
                          </a:prstGeom>
                          <a:noFill/>
                          <a:ln>
                            <a:noFill/>
                          </a:ln>
                        </pic:spPr>
                      </pic:pic>
                    </a:graphicData>
                  </a:graphic>
                </wp:inline>
              </w:drawing>
            </w:r>
          </w:p>
          <w:p>
            <w:pPr>
              <w:adjustRightInd w:val="0"/>
              <w:snapToGrid w:val="0"/>
              <w:spacing w:line="360" w:lineRule="auto"/>
              <w:jc w:val="center"/>
              <w:rPr>
                <w:rFonts w:hint="eastAsia"/>
                <w:b/>
                <w:bCs/>
                <w:sz w:val="24"/>
              </w:rPr>
            </w:pPr>
            <w:r>
              <w:rPr>
                <w:rFonts w:hint="eastAsia" w:ascii="Times New Roman" w:hAnsi="Times New Roman" w:eastAsia="宋体" w:cs="Times New Roman"/>
                <w:sz w:val="24"/>
              </w:rPr>
              <w:br w:type="textWrapping"/>
            </w:r>
            <w:r>
              <w:rPr>
                <w:rFonts w:hint="eastAsia" w:ascii="Times New Roman" w:hAnsi="Times New Roman" w:eastAsia="宋体" w:cs="Times New Roman"/>
                <w:b/>
                <w:bCs/>
                <w:sz w:val="24"/>
                <w:lang w:val="en-US" w:eastAsia="zh-CN"/>
              </w:rPr>
              <w:t>图2-4  一次性使用注射针生产工艺流程及产污</w:t>
            </w:r>
            <w:r>
              <w:rPr>
                <w:rFonts w:hint="eastAsia"/>
                <w:b/>
                <w:bCs/>
                <w:sz w:val="24"/>
                <w:lang w:val="en-US" w:eastAsia="zh-CN"/>
              </w:rPr>
              <w:t>环节图</w:t>
            </w:r>
          </w:p>
          <w:p>
            <w:pPr>
              <w:adjustRightInd w:val="0"/>
              <w:snapToGrid w:val="0"/>
              <w:spacing w:line="360" w:lineRule="auto"/>
              <w:ind w:firstLine="482" w:firstLineChars="200"/>
              <w:rPr>
                <w:rFonts w:hint="eastAsia" w:ascii="Times New Roman" w:hAnsi="Times New Roman" w:eastAsia="宋体" w:cs="Times New Roman"/>
                <w:b/>
                <w:bCs/>
                <w:sz w:val="24"/>
                <w:lang w:val="en-US" w:eastAsia="zh-CN"/>
              </w:rPr>
            </w:pPr>
            <w:r>
              <w:rPr>
                <w:rFonts w:hint="eastAsia"/>
                <w:b/>
                <w:bCs/>
                <w:sz w:val="24"/>
              </w:rPr>
              <w:t>工艺流程简述：</w:t>
            </w:r>
          </w:p>
          <w:p>
            <w:pPr>
              <w:adjustRightInd w:val="0"/>
              <w:snapToGrid w:val="0"/>
              <w:spacing w:line="360" w:lineRule="auto"/>
              <w:ind w:firstLine="482" w:firstLineChars="200"/>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清洗：</w:t>
            </w:r>
            <w:r>
              <w:rPr>
                <w:rFonts w:hint="eastAsia" w:ascii="Times New Roman" w:hAnsi="Times New Roman" w:eastAsia="宋体" w:cs="Times New Roman"/>
                <w:b w:val="0"/>
                <w:bCs w:val="0"/>
                <w:sz w:val="24"/>
                <w:lang w:val="en-US" w:eastAsia="zh-CN"/>
              </w:rPr>
              <w:t>虽然外购配件在出厂时达到清洁的标准，但为了确保外购配件的清洁度，在拆包后首先进行表面清洁操作，放入水槽中</w:t>
            </w:r>
            <w:r>
              <w:rPr>
                <w:rFonts w:hint="eastAsia" w:ascii="宋体" w:hAnsi="宋体" w:eastAsia="宋体" w:cs="宋体"/>
                <w:sz w:val="24"/>
                <w:szCs w:val="24"/>
                <w:lang w:val="en-US" w:eastAsia="zh-CN"/>
              </w:rPr>
              <w:t>先在粗洗间用超声波清洗一次，接着在洁净车间精洗间用超声波再清洗一次，</w:t>
            </w:r>
            <w:r>
              <w:rPr>
                <w:rFonts w:hint="eastAsia" w:ascii="Times New Roman" w:hAnsi="Times New Roman" w:eastAsia="宋体" w:cs="Times New Roman"/>
                <w:b w:val="0"/>
                <w:bCs w:val="0"/>
                <w:sz w:val="24"/>
                <w:lang w:val="en-US" w:eastAsia="zh-CN"/>
              </w:rPr>
              <w:t>以彻底去除可能的灰尘，清洗过程产生清洗废水W3-1，超声波清洗机运行产生噪声N3-1；</w:t>
            </w:r>
          </w:p>
          <w:p>
            <w:pPr>
              <w:adjustRightInd w:val="0"/>
              <w:snapToGrid w:val="0"/>
              <w:spacing w:line="360" w:lineRule="auto"/>
              <w:ind w:firstLine="482"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b/>
                <w:bCs/>
                <w:sz w:val="24"/>
                <w:lang w:val="en-US" w:eastAsia="zh-CN"/>
              </w:rPr>
              <w:t>热烘（烘干）：</w:t>
            </w:r>
            <w:r>
              <w:rPr>
                <w:rFonts w:hint="eastAsia" w:ascii="Times New Roman" w:hAnsi="Times New Roman" w:eastAsia="宋体" w:cs="Times New Roman"/>
                <w:sz w:val="24"/>
                <w:highlight w:val="none"/>
                <w:lang w:val="en-US" w:eastAsia="zh-CN"/>
              </w:rPr>
              <w:t>清洗后使用烘箱烘干，烘干温度为155℃，烘干时间约为1h，烘干后自然冷却，烘干过程蒸发配件表面残留的水滴，无废气产生；</w:t>
            </w:r>
          </w:p>
          <w:p>
            <w:pPr>
              <w:adjustRightInd w:val="0"/>
              <w:snapToGrid w:val="0"/>
              <w:spacing w:line="360" w:lineRule="auto"/>
              <w:ind w:firstLine="482" w:firstLineChars="200"/>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输液内管与助推管装配：</w:t>
            </w:r>
            <w:r>
              <w:rPr>
                <w:rFonts w:hint="eastAsia" w:ascii="Times New Roman" w:hAnsi="Times New Roman" w:eastAsia="宋体" w:cs="Times New Roman"/>
                <w:b w:val="0"/>
                <w:bCs w:val="0"/>
                <w:sz w:val="24"/>
                <w:lang w:val="en-US" w:eastAsia="zh-CN"/>
              </w:rPr>
              <w:t>手工施加压力将输液内管与助推管装配；</w:t>
            </w:r>
          </w:p>
          <w:p>
            <w:pPr>
              <w:adjustRightInd w:val="0"/>
              <w:snapToGrid w:val="0"/>
              <w:spacing w:line="360" w:lineRule="auto"/>
              <w:ind w:firstLine="482" w:firstLineChars="200"/>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输液内管定长、针头与输液内管装配：</w:t>
            </w:r>
            <w:r>
              <w:rPr>
                <w:rFonts w:hint="eastAsia" w:ascii="Times New Roman" w:hAnsi="Times New Roman" w:eastAsia="宋体" w:cs="Times New Roman"/>
                <w:b w:val="0"/>
                <w:bCs w:val="0"/>
                <w:sz w:val="24"/>
                <w:lang w:val="en-US" w:eastAsia="zh-CN"/>
              </w:rPr>
              <w:t>手工调整输液内管的长度，用剪刀裁断，物理压力将针头与输液内管连接装配，该过程产生剪切边角料S3-1；</w:t>
            </w:r>
          </w:p>
          <w:p>
            <w:pPr>
              <w:adjustRightInd w:val="0"/>
              <w:snapToGrid w:val="0"/>
              <w:spacing w:line="360" w:lineRule="auto"/>
              <w:ind w:firstLine="482" w:firstLineChars="20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外管与前手柄装配、装护套管、前手柄与注液手柄装配：</w:t>
            </w:r>
            <w:r>
              <w:rPr>
                <w:rFonts w:hint="eastAsia" w:ascii="Times New Roman" w:hAnsi="Times New Roman" w:eastAsia="宋体" w:cs="Times New Roman"/>
                <w:b w:val="0"/>
                <w:bCs w:val="0"/>
                <w:sz w:val="24"/>
                <w:lang w:val="en-US" w:eastAsia="zh-CN"/>
              </w:rPr>
              <w:t>手柄使用卡扣结构，手工固定外管与前手柄、前手柄与注液手柄，将护套管安装在输液内管外管之间；</w:t>
            </w:r>
          </w:p>
          <w:p>
            <w:pPr>
              <w:adjustRightInd w:val="0"/>
              <w:snapToGrid w:val="0"/>
              <w:spacing w:line="360" w:lineRule="auto"/>
              <w:ind w:firstLine="482" w:firstLineChars="20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外管定长、导引头与外管装配：</w:t>
            </w:r>
            <w:r>
              <w:rPr>
                <w:rFonts w:hint="eastAsia" w:ascii="Times New Roman" w:hAnsi="Times New Roman" w:eastAsia="宋体" w:cs="Times New Roman"/>
                <w:b w:val="0"/>
                <w:bCs w:val="0"/>
                <w:sz w:val="24"/>
                <w:lang w:val="en-US" w:eastAsia="zh-CN"/>
              </w:rPr>
              <w:t>手工调整外管的长度，用剪刀裁断，手工施加压力将导引头与外管装配，该过程产生剪切边角料固废S3-2；</w:t>
            </w:r>
          </w:p>
          <w:p>
            <w:pPr>
              <w:adjustRightInd w:val="0"/>
              <w:snapToGrid w:val="0"/>
              <w:spacing w:line="360" w:lineRule="auto"/>
              <w:ind w:firstLine="482" w:firstLineChars="200"/>
              <w:rPr>
                <w:rFonts w:hint="eastAsia" w:ascii="Times New Roman" w:hAnsi="Times New Roman" w:eastAsia="宋体" w:cs="Times New Roman"/>
                <w:b w:val="0"/>
                <w:bCs w:val="0"/>
                <w:sz w:val="24"/>
                <w:lang w:val="en-US" w:eastAsia="zh-CN"/>
              </w:rPr>
            </w:pPr>
            <w:r>
              <w:rPr>
                <w:rFonts w:hint="eastAsia"/>
                <w:b/>
                <w:bCs/>
                <w:sz w:val="24"/>
                <w:lang w:val="en-US" w:eastAsia="zh-CN"/>
              </w:rPr>
              <w:t>末道检验：</w:t>
            </w:r>
            <w:r>
              <w:rPr>
                <w:rFonts w:hint="eastAsia" w:ascii="Times New Roman" w:hAnsi="Times New Roman" w:eastAsia="宋体" w:cs="Times New Roman"/>
                <w:b w:val="0"/>
                <w:bCs w:val="0"/>
                <w:sz w:val="24"/>
                <w:lang w:val="en-US" w:eastAsia="zh-CN"/>
              </w:rPr>
              <w:t>根据《最终检验规程》对产品进行检验，主要由人工对产品外观进行检验，不合格的产品将各部件拆卸，可用的部件进行重复利用，其他部分作为固废</w:t>
            </w:r>
            <w:r>
              <w:rPr>
                <w:rFonts w:hint="eastAsia" w:ascii="Times New Roman" w:hAnsi="Times New Roman" w:eastAsia="宋体" w:cs="Times New Roman"/>
                <w:sz w:val="24"/>
                <w:highlight w:val="none"/>
                <w:lang w:val="en-US" w:eastAsia="zh-CN"/>
              </w:rPr>
              <w:t>S3-3</w:t>
            </w:r>
            <w:r>
              <w:rPr>
                <w:rFonts w:hint="eastAsia" w:ascii="Times New Roman" w:hAnsi="Times New Roman" w:eastAsia="宋体" w:cs="Times New Roman"/>
                <w:b w:val="0"/>
                <w:bCs w:val="0"/>
                <w:sz w:val="24"/>
                <w:lang w:val="en-US" w:eastAsia="zh-CN"/>
              </w:rPr>
              <w:t>；</w:t>
            </w:r>
          </w:p>
          <w:p>
            <w:pPr>
              <w:adjustRightInd w:val="0"/>
              <w:snapToGrid w:val="0"/>
              <w:spacing w:line="360" w:lineRule="auto"/>
              <w:ind w:firstLine="482" w:firstLineChars="200"/>
              <w:rPr>
                <w:rFonts w:hint="default" w:ascii="Times New Roman" w:hAnsi="Times New Roman" w:eastAsia="宋体" w:cs="Times New Roman"/>
                <w:b w:val="0"/>
                <w:bCs w:val="0"/>
                <w:sz w:val="24"/>
                <w:lang w:val="en-US" w:eastAsia="zh-CN"/>
              </w:rPr>
            </w:pPr>
            <w:r>
              <w:rPr>
                <w:rFonts w:hint="eastAsia"/>
                <w:b/>
                <w:bCs/>
                <w:sz w:val="24"/>
                <w:lang w:val="en-US" w:eastAsia="zh-CN"/>
              </w:rPr>
              <w:t>包装</w:t>
            </w:r>
            <w:r>
              <w:rPr>
                <w:rFonts w:hint="eastAsia" w:ascii="Times New Roman" w:hAnsi="Times New Roman" w:eastAsia="宋体" w:cs="Times New Roman"/>
                <w:b/>
                <w:bCs/>
                <w:sz w:val="24"/>
                <w:lang w:val="en-US" w:eastAsia="zh-CN"/>
              </w:rPr>
              <w:t>：</w:t>
            </w:r>
            <w:r>
              <w:rPr>
                <w:rFonts w:hint="eastAsia" w:ascii="Times New Roman" w:hAnsi="Times New Roman" w:eastAsia="宋体" w:cs="Times New Roman"/>
                <w:b w:val="0"/>
                <w:bCs w:val="0"/>
                <w:sz w:val="24"/>
                <w:highlight w:val="none"/>
                <w:lang w:val="en-US" w:eastAsia="zh-CN"/>
              </w:rPr>
              <w:t>外购包装袋对</w:t>
            </w:r>
            <w:r>
              <w:rPr>
                <w:rFonts w:hint="eastAsia" w:ascii="Times New Roman" w:hAnsi="Times New Roman" w:eastAsia="宋体" w:cs="Times New Roman"/>
                <w:sz w:val="24"/>
                <w:highlight w:val="none"/>
                <w:lang w:val="en-US" w:eastAsia="zh-CN"/>
              </w:rPr>
              <w:t>注射器</w:t>
            </w:r>
            <w:r>
              <w:rPr>
                <w:rFonts w:hint="eastAsia" w:ascii="Times New Roman" w:hAnsi="Times New Roman" w:eastAsia="宋体" w:cs="Times New Roman"/>
                <w:b w:val="0"/>
                <w:bCs w:val="0"/>
                <w:sz w:val="24"/>
                <w:highlight w:val="none"/>
                <w:lang w:val="en-US" w:eastAsia="zh-CN"/>
              </w:rPr>
              <w:t>进行单个包装</w:t>
            </w:r>
            <w:r>
              <w:rPr>
                <w:rFonts w:hint="eastAsia" w:ascii="Times New Roman" w:hAnsi="Times New Roman" w:eastAsia="宋体" w:cs="Times New Roman"/>
                <w:b w:val="0"/>
                <w:bCs w:val="0"/>
                <w:sz w:val="24"/>
                <w:lang w:val="en-US" w:eastAsia="zh-CN"/>
              </w:rPr>
              <w:t>，使用热封机封口并贴上标签，标签应包含内装物的说明，标有“无菌”、 “无热原”、“一次性使用”字样，制造厂或供应商的名称和地址，失效日期的年和月，注明规格等；接着将单包装装入中包装内，同样贴写标签；最后进行外包装，外包装在单包装的标签基础上添加运输、贮存、搬运的要求；</w:t>
            </w:r>
          </w:p>
          <w:p>
            <w:pPr>
              <w:adjustRightInd w:val="0"/>
              <w:snapToGrid w:val="0"/>
              <w:spacing w:line="360" w:lineRule="auto"/>
              <w:ind w:firstLine="482"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b/>
                <w:bCs/>
                <w:sz w:val="24"/>
                <w:lang w:val="en-US" w:eastAsia="zh-CN"/>
              </w:rPr>
              <w:t>灭菌：</w:t>
            </w:r>
            <w:r>
              <w:rPr>
                <w:rFonts w:hint="eastAsia" w:ascii="Times New Roman" w:hAnsi="Times New Roman" w:eastAsia="宋体" w:cs="Times New Roman"/>
                <w:sz w:val="24"/>
                <w:highlight w:val="none"/>
                <w:lang w:val="en-US" w:eastAsia="zh-CN"/>
              </w:rPr>
              <w:t>包装完成后委托生物医学科技有限公司进行灭菌。</w:t>
            </w:r>
          </w:p>
          <w:p>
            <w:pPr>
              <w:adjustRightInd w:val="0"/>
              <w:snapToGrid w:val="0"/>
              <w:spacing w:line="360" w:lineRule="auto"/>
              <w:ind w:firstLine="482" w:firstLineChars="20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成品检验入库：</w:t>
            </w:r>
            <w:r>
              <w:rPr>
                <w:rFonts w:hint="eastAsia" w:ascii="Times New Roman" w:hAnsi="Times New Roman" w:eastAsia="宋体" w:cs="Times New Roman"/>
                <w:b w:val="0"/>
                <w:bCs w:val="0"/>
                <w:sz w:val="24"/>
                <w:lang w:val="en-US" w:eastAsia="zh-CN"/>
              </w:rPr>
              <w:t>外包装装箱数量准确、包装箱无破损现象。若有不合格的产品则重新检验，合格产品放入库房。</w:t>
            </w:r>
          </w:p>
          <w:p>
            <w:pPr>
              <w:adjustRightInd w:val="0"/>
              <w:snapToGrid w:val="0"/>
              <w:spacing w:line="360" w:lineRule="auto"/>
              <w:ind w:firstLine="480" w:firstLineChars="200"/>
              <w:rPr>
                <w:rFonts w:hint="eastAsia" w:ascii="Times New Roman" w:hAnsi="Times New Roman" w:eastAsia="宋体" w:cs="Times New Roman"/>
                <w:b w:val="0"/>
                <w:bCs w:val="0"/>
                <w:sz w:val="24"/>
                <w:lang w:val="en-US" w:eastAsia="zh-CN"/>
              </w:rPr>
            </w:pPr>
          </w:p>
          <w:p>
            <w:pPr>
              <w:adjustRightInd w:val="0"/>
              <w:snapToGrid w:val="0"/>
              <w:spacing w:line="360" w:lineRule="auto"/>
              <w:ind w:firstLine="480" w:firstLineChars="200"/>
              <w:rPr>
                <w:rFonts w:hint="eastAsia" w:ascii="Times New Roman" w:hAnsi="Times New Roman" w:eastAsia="宋体" w:cs="Times New Roman"/>
                <w:b w:val="0"/>
                <w:bCs w:val="0"/>
                <w:sz w:val="24"/>
                <w:lang w:val="en-US" w:eastAsia="zh-CN"/>
              </w:rPr>
            </w:pPr>
          </w:p>
          <w:p>
            <w:pPr>
              <w:adjustRightInd w:val="0"/>
              <w:snapToGrid w:val="0"/>
              <w:spacing w:line="360" w:lineRule="auto"/>
              <w:ind w:firstLine="480" w:firstLineChars="200"/>
              <w:rPr>
                <w:rFonts w:hint="eastAsia" w:ascii="Times New Roman" w:hAnsi="Times New Roman" w:eastAsia="宋体" w:cs="Times New Roman"/>
                <w:b w:val="0"/>
                <w:bCs w:val="0"/>
                <w:sz w:val="24"/>
                <w:lang w:val="en-US" w:eastAsia="zh-CN"/>
              </w:rPr>
            </w:pPr>
          </w:p>
          <w:p>
            <w:pPr>
              <w:adjustRightInd w:val="0"/>
              <w:snapToGrid w:val="0"/>
              <w:spacing w:line="360" w:lineRule="auto"/>
              <w:rPr>
                <w:rFonts w:hint="eastAsia" w:ascii="Times New Roman" w:hAnsi="Times New Roman" w:eastAsia="宋体" w:cs="Times New Roman"/>
                <w:b w:val="0"/>
                <w:bCs w:val="0"/>
                <w:sz w:val="24"/>
                <w:lang w:val="en-US" w:eastAsia="zh-CN"/>
              </w:rPr>
            </w:pPr>
          </w:p>
          <w:p>
            <w:pPr>
              <w:adjustRightInd w:val="0"/>
              <w:snapToGrid w:val="0"/>
              <w:spacing w:line="360" w:lineRule="auto"/>
              <w:ind w:firstLine="480" w:firstLineChars="20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本项目所有产品清洗均采用纯水清洗，所需纯水由厂区自行制备，依托现有纯水制备系统。纯水制备系统采用“多介质过滤+活性炭+反渗透膜"的方式，自来水经多介质过滤、活性炭过滤后，通过一级反渗透膜制备纯水，制备出的一级纯水继续经二级反渗透膜，继续制备纯水。整个纯水制备系统纯水得率约为</w:t>
            </w:r>
            <w:r>
              <w:rPr>
                <w:rFonts w:hint="eastAsia" w:ascii="Times New Roman" w:hAnsi="Times New Roman" w:eastAsia="宋体" w:cs="Times New Roman"/>
                <w:b w:val="0"/>
                <w:bCs w:val="0"/>
                <w:sz w:val="24"/>
                <w:highlight w:val="none"/>
                <w:lang w:val="en-US" w:eastAsia="zh-CN"/>
              </w:rPr>
              <w:t>70%</w:t>
            </w:r>
            <w:r>
              <w:rPr>
                <w:rFonts w:hint="eastAsia" w:ascii="Times New Roman" w:hAnsi="Times New Roman" w:eastAsia="宋体" w:cs="Times New Roman"/>
                <w:b w:val="0"/>
                <w:bCs w:val="0"/>
                <w:sz w:val="24"/>
                <w:lang w:val="en-US" w:eastAsia="zh-CN"/>
              </w:rPr>
              <w:t>，工艺流程见图2-5。因此项目公用工程依托能够满足本项目生产建设使用。</w:t>
            </w:r>
          </w:p>
          <w:p>
            <w:pPr>
              <w:adjustRightInd w:val="0"/>
              <w:snapToGrid w:val="0"/>
              <w:spacing w:line="360" w:lineRule="auto"/>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drawing>
                <wp:inline distT="0" distB="0" distL="114300" distR="114300">
                  <wp:extent cx="5337810" cy="2558415"/>
                  <wp:effectExtent l="0" t="0" r="0" b="0"/>
                  <wp:docPr id="1" name="ECB019B1-382A-4266-B25C-5B523AA43C14-5"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5" descr="wps"/>
                          <pic:cNvPicPr>
                            <a:picLocks noChangeAspect="1"/>
                          </pic:cNvPicPr>
                        </pic:nvPicPr>
                        <pic:blipFill>
                          <a:blip r:embed="rId14"/>
                          <a:stretch>
                            <a:fillRect/>
                          </a:stretch>
                        </pic:blipFill>
                        <pic:spPr>
                          <a:xfrm>
                            <a:off x="0" y="0"/>
                            <a:ext cx="5337810" cy="2558415"/>
                          </a:xfrm>
                          <a:prstGeom prst="rect">
                            <a:avLst/>
                          </a:prstGeom>
                          <a:noFill/>
                          <a:ln>
                            <a:noFill/>
                          </a:ln>
                        </pic:spPr>
                      </pic:pic>
                    </a:graphicData>
                  </a:graphic>
                </wp:inline>
              </w:drawing>
            </w:r>
          </w:p>
          <w:p>
            <w:pPr>
              <w:adjustRightInd w:val="0"/>
              <w:snapToGrid w:val="0"/>
              <w:spacing w:line="360" w:lineRule="auto"/>
              <w:jc w:val="center"/>
              <w:rPr>
                <w:rFonts w:hint="eastAsia" w:ascii="Times New Roman" w:hAnsi="Times New Roman" w:eastAsia="宋体" w:cs="Times New Roman"/>
                <w:sz w:val="24"/>
                <w:lang w:val="en-US" w:eastAsia="zh-CN"/>
              </w:rPr>
            </w:pPr>
            <w:r>
              <w:rPr>
                <w:rFonts w:hint="eastAsia"/>
                <w:b/>
                <w:bCs/>
                <w:sz w:val="24"/>
              </w:rPr>
              <w:t>图2-</w:t>
            </w:r>
            <w:r>
              <w:rPr>
                <w:rFonts w:hint="eastAsia"/>
                <w:b/>
                <w:bCs/>
                <w:sz w:val="24"/>
                <w:lang w:val="en-US" w:eastAsia="zh-CN"/>
              </w:rPr>
              <w:t>5</w:t>
            </w:r>
            <w:r>
              <w:rPr>
                <w:rFonts w:hint="eastAsia"/>
                <w:b/>
                <w:bCs/>
                <w:sz w:val="24"/>
              </w:rPr>
              <w:t xml:space="preserve">  </w:t>
            </w:r>
            <w:r>
              <w:rPr>
                <w:rFonts w:hint="eastAsia" w:ascii="Times New Roman" w:hAnsi="Times New Roman" w:eastAsia="宋体" w:cs="Times New Roman"/>
                <w:b/>
                <w:bCs/>
                <w:sz w:val="24"/>
                <w:lang w:val="en-US" w:eastAsia="zh-CN"/>
              </w:rPr>
              <w:t>纯水制备系统工艺流程图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7" w:hRule="atLeast"/>
          <w:jc w:val="center"/>
        </w:trPr>
        <w:tc>
          <w:tcPr>
            <w:tcW w:w="356" w:type="dxa"/>
            <w:noWrap w:val="0"/>
            <w:vAlign w:val="center"/>
          </w:tcPr>
          <w:p>
            <w:pPr>
              <w:pStyle w:val="20"/>
              <w:adjustRightInd w:val="0"/>
              <w:snapToGrid w:val="0"/>
              <w:spacing w:before="0" w:beforeAutospacing="0" w:after="0" w:afterAutospacing="0"/>
              <w:jc w:val="center"/>
              <w:rPr>
                <w:rFonts w:ascii="Times New Roman" w:hAnsi="Times New Roman"/>
                <w:szCs w:val="24"/>
              </w:rPr>
            </w:pPr>
            <w:r>
              <w:rPr>
                <w:rFonts w:ascii="Times New Roman" w:hAnsi="Times New Roman"/>
                <w:bCs/>
                <w:szCs w:val="24"/>
              </w:rPr>
              <w:t>与项目有关的原有环境污染问题</w:t>
            </w:r>
          </w:p>
        </w:tc>
        <w:tc>
          <w:tcPr>
            <w:tcW w:w="8628" w:type="dxa"/>
            <w:noWrap w:val="0"/>
            <w:vAlign w:val="center"/>
          </w:tcPr>
          <w:p>
            <w:pPr>
              <w:adjustRightInd w:val="0"/>
              <w:snapToGrid w:val="0"/>
              <w:spacing w:line="360" w:lineRule="auto"/>
              <w:ind w:firstLine="480" w:firstLineChars="200"/>
              <w:jc w:val="left"/>
              <w:rPr>
                <w:rFonts w:hint="eastAsia" w:ascii="Times New Roman" w:hAnsi="Times New Roman" w:eastAsia="宋体" w:cs="Times New Roman"/>
                <w:b w:val="0"/>
                <w:bCs w:val="0"/>
                <w:sz w:val="24"/>
                <w:highlight w:val="none"/>
                <w:lang w:val="en-US" w:eastAsia="zh-CN"/>
              </w:rPr>
            </w:pPr>
            <w:r>
              <w:rPr>
                <w:rFonts w:hint="eastAsia" w:ascii="Times New Roman" w:hAnsi="Times New Roman" w:eastAsia="宋体" w:cs="Times New Roman"/>
                <w:b w:val="0"/>
                <w:bCs w:val="0"/>
                <w:sz w:val="24"/>
                <w:highlight w:val="none"/>
                <w:lang w:val="en-US" w:eastAsia="zh-CN"/>
              </w:rPr>
              <w:t>本项目为新建项目，本项目租赁常州江苏华科园投资发展有限公司已建闲置厂房5号楼北楼四层东侧，租用时厂房为闲置状态，租用的厂房租赁协议齐全，不存在原有项目遗留的污染问题。</w:t>
            </w:r>
          </w:p>
        </w:tc>
      </w:tr>
    </w:tbl>
    <w:p>
      <w:pPr>
        <w:pStyle w:val="20"/>
        <w:jc w:val="center"/>
        <w:rPr>
          <w:rFonts w:ascii="黑体" w:hAnsi="黑体" w:eastAsia="黑体"/>
          <w:snapToGrid w:val="0"/>
          <w:color w:val="0000FF"/>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0"/>
        <w:jc w:val="center"/>
        <w:outlineLvl w:val="0"/>
        <w:rPr>
          <w:rFonts w:cs="宋体"/>
          <w:b/>
          <w:bCs/>
          <w:snapToGrid w:val="0"/>
          <w:sz w:val="30"/>
          <w:szCs w:val="30"/>
        </w:rPr>
      </w:pPr>
      <w:bookmarkStart w:id="6" w:name="_Toc10546"/>
      <w:r>
        <w:rPr>
          <w:rFonts w:hint="eastAsia" w:cs="宋体"/>
          <w:b/>
          <w:bCs/>
          <w:snapToGrid w:val="0"/>
          <w:sz w:val="30"/>
          <w:szCs w:val="30"/>
        </w:rPr>
        <w:t>三、区域环境质量现状、环境保护目标及评价标准</w:t>
      </w:r>
      <w:bookmarkEnd w:id="6"/>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5"/>
        <w:gridCol w:w="85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85" w:hRule="atLeast"/>
          <w:jc w:val="center"/>
        </w:trPr>
        <w:tc>
          <w:tcPr>
            <w:tcW w:w="465" w:type="dxa"/>
            <w:noWrap w:val="0"/>
            <w:vAlign w:val="center"/>
          </w:tcPr>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rPr>
            </w:pPr>
          </w:p>
          <w:p>
            <w:pPr>
              <w:adjustRightInd w:val="0"/>
              <w:snapToGrid w:val="0"/>
              <w:jc w:val="center"/>
              <w:rPr>
                <w:color w:val="0000FF"/>
                <w:sz w:val="24"/>
              </w:rPr>
            </w:pPr>
          </w:p>
          <w:p>
            <w:pPr>
              <w:adjustRightInd w:val="0"/>
              <w:snapToGrid w:val="0"/>
              <w:jc w:val="center"/>
              <w:rPr>
                <w:sz w:val="24"/>
              </w:rPr>
            </w:pPr>
            <w:r>
              <w:rPr>
                <w:sz w:val="24"/>
              </w:rPr>
              <w:t>区域环境质量现状</w:t>
            </w:r>
          </w:p>
          <w:p>
            <w:pPr>
              <w:pStyle w:val="8"/>
              <w:rPr>
                <w:color w:val="0000FF"/>
              </w:rPr>
            </w:pPr>
          </w:p>
          <w:p>
            <w:pPr>
              <w:rPr>
                <w:color w:val="0000FF"/>
              </w:rPr>
            </w:pPr>
          </w:p>
          <w:p>
            <w:pPr>
              <w:pStyle w:val="8"/>
              <w:rPr>
                <w:color w:val="0000FF"/>
              </w:rPr>
            </w:pPr>
          </w:p>
          <w:p>
            <w:pPr>
              <w:rPr>
                <w:color w:val="0000FF"/>
              </w:rPr>
            </w:pPr>
          </w:p>
          <w:p>
            <w:pPr>
              <w:pStyle w:val="8"/>
              <w:rPr>
                <w:color w:val="0000FF"/>
              </w:rPr>
            </w:pPr>
          </w:p>
          <w:p>
            <w:pPr>
              <w:rPr>
                <w:color w:val="0000FF"/>
              </w:rPr>
            </w:pPr>
          </w:p>
          <w:p>
            <w:pPr>
              <w:pStyle w:val="8"/>
              <w:rPr>
                <w:color w:val="0000FF"/>
              </w:rPr>
            </w:pPr>
          </w:p>
          <w:p>
            <w:pPr>
              <w:rPr>
                <w:color w:val="0000FF"/>
              </w:rPr>
            </w:pPr>
          </w:p>
          <w:p>
            <w:pPr>
              <w:pStyle w:val="8"/>
              <w:rPr>
                <w:color w:val="0000FF"/>
              </w:rPr>
            </w:pPr>
          </w:p>
          <w:p>
            <w:pPr>
              <w:rPr>
                <w:color w:val="0000FF"/>
              </w:rPr>
            </w:pPr>
          </w:p>
          <w:p>
            <w:pPr>
              <w:pStyle w:val="8"/>
              <w:rPr>
                <w:color w:val="0000FF"/>
              </w:rPr>
            </w:pPr>
          </w:p>
          <w:p>
            <w:pPr>
              <w:rPr>
                <w:color w:val="0000FF"/>
              </w:rPr>
            </w:pPr>
          </w:p>
          <w:p>
            <w:pPr>
              <w:pStyle w:val="8"/>
              <w:rPr>
                <w:color w:val="0000FF"/>
              </w:rPr>
            </w:pPr>
          </w:p>
          <w:p>
            <w:pPr>
              <w:rPr>
                <w:color w:val="0000FF"/>
              </w:rPr>
            </w:pPr>
          </w:p>
          <w:p>
            <w:pPr>
              <w:pStyle w:val="8"/>
              <w:rPr>
                <w:color w:val="0000FF"/>
              </w:rPr>
            </w:pPr>
          </w:p>
          <w:p>
            <w:pPr>
              <w:rPr>
                <w:color w:val="0000FF"/>
              </w:rPr>
            </w:pPr>
          </w:p>
          <w:p>
            <w:pPr>
              <w:pStyle w:val="8"/>
              <w:rPr>
                <w:color w:val="0000FF"/>
              </w:rPr>
            </w:pPr>
          </w:p>
          <w:p>
            <w:pPr>
              <w:rPr>
                <w:color w:val="0000FF"/>
              </w:rPr>
            </w:pPr>
          </w:p>
          <w:p>
            <w:pPr>
              <w:pStyle w:val="8"/>
              <w:rPr>
                <w:color w:val="0000FF"/>
              </w:rPr>
            </w:pPr>
          </w:p>
          <w:p>
            <w:pPr>
              <w:rPr>
                <w:color w:val="0000FF"/>
              </w:rPr>
            </w:pPr>
          </w:p>
          <w:p>
            <w:pPr>
              <w:pStyle w:val="8"/>
              <w:rPr>
                <w:color w:val="0000FF"/>
              </w:rPr>
            </w:pPr>
          </w:p>
          <w:p>
            <w:pPr>
              <w:rPr>
                <w:color w:val="0000FF"/>
              </w:rPr>
            </w:pPr>
          </w:p>
          <w:p>
            <w:pPr>
              <w:pStyle w:val="8"/>
              <w:rPr>
                <w:color w:val="0000FF"/>
              </w:rPr>
            </w:pPr>
          </w:p>
          <w:p>
            <w:pPr>
              <w:rPr>
                <w:color w:val="0000FF"/>
              </w:rPr>
            </w:pPr>
          </w:p>
          <w:p>
            <w:pPr>
              <w:pStyle w:val="8"/>
              <w:rPr>
                <w:color w:val="0000FF"/>
              </w:rPr>
            </w:pPr>
          </w:p>
          <w:p>
            <w:pPr>
              <w:rPr>
                <w:color w:val="0000FF"/>
              </w:rPr>
            </w:pPr>
          </w:p>
          <w:p>
            <w:pPr>
              <w:pStyle w:val="8"/>
              <w:rPr>
                <w:color w:val="0000FF"/>
              </w:rPr>
            </w:pPr>
          </w:p>
          <w:p>
            <w:pPr>
              <w:rPr>
                <w:color w:val="0000FF"/>
              </w:rPr>
            </w:pPr>
          </w:p>
          <w:p>
            <w:pPr>
              <w:pStyle w:val="8"/>
              <w:rPr>
                <w:color w:val="0000FF"/>
              </w:rPr>
            </w:pPr>
          </w:p>
          <w:p>
            <w:pPr>
              <w:rPr>
                <w:rFonts w:hint="eastAsia"/>
                <w:color w:val="0000FF"/>
                <w:sz w:val="24"/>
              </w:rPr>
            </w:pPr>
            <w:r>
              <w:rPr>
                <w:rFonts w:hint="eastAsia"/>
                <w:sz w:val="24"/>
              </w:rPr>
              <w:t>区域环境质量现状</w:t>
            </w:r>
          </w:p>
          <w:p>
            <w:pPr>
              <w:rPr>
                <w:rFonts w:hint="eastAsia"/>
                <w:color w:val="0000FF"/>
              </w:rPr>
            </w:pPr>
          </w:p>
        </w:tc>
        <w:tc>
          <w:tcPr>
            <w:tcW w:w="8525" w:type="dxa"/>
            <w:noWrap w:val="0"/>
            <w:vAlign w:val="center"/>
          </w:tcPr>
          <w:p>
            <w:pPr>
              <w:pStyle w:val="40"/>
              <w:adjustRightInd w:val="0"/>
              <w:snapToGrid w:val="0"/>
              <w:spacing w:line="360" w:lineRule="auto"/>
              <w:ind w:firstLine="0" w:firstLineChars="0"/>
              <w:jc w:val="both"/>
              <w:rPr>
                <w:rFonts w:eastAsia="宋体"/>
                <w:b/>
                <w:bCs/>
              </w:rPr>
            </w:pPr>
            <w:r>
              <w:rPr>
                <w:rFonts w:eastAsia="宋体"/>
                <w:b/>
                <w:bCs/>
              </w:rPr>
              <w:t>1、大气环境</w:t>
            </w:r>
            <w:r>
              <w:rPr>
                <w:rFonts w:hint="eastAsia" w:eastAsia="宋体"/>
                <w:b/>
                <w:bCs/>
              </w:rPr>
              <w:t>质量现状</w:t>
            </w:r>
          </w:p>
          <w:p>
            <w:pPr>
              <w:pStyle w:val="53"/>
              <w:adjustRightInd w:val="0"/>
              <w:snapToGrid w:val="0"/>
              <w:spacing w:line="360" w:lineRule="auto"/>
              <w:ind w:firstLine="482"/>
              <w:rPr>
                <w:b/>
                <w:bCs/>
                <w:sz w:val="24"/>
                <w:szCs w:val="24"/>
              </w:rPr>
            </w:pPr>
            <w:r>
              <w:rPr>
                <w:rFonts w:hint="eastAsia"/>
                <w:b/>
                <w:bCs/>
                <w:sz w:val="24"/>
                <w:szCs w:val="24"/>
              </w:rPr>
              <w:t>（1）常规污染物环境质量现状</w:t>
            </w:r>
          </w:p>
          <w:p>
            <w:pPr>
              <w:autoSpaceDE w:val="0"/>
              <w:autoSpaceDN w:val="0"/>
              <w:adjustRightInd w:val="0"/>
              <w:snapToGrid w:val="0"/>
              <w:spacing w:line="360" w:lineRule="auto"/>
              <w:ind w:firstLine="480" w:firstLineChars="200"/>
              <w:rPr>
                <w:sz w:val="24"/>
              </w:rPr>
            </w:pPr>
            <w:r>
              <w:rPr>
                <w:rFonts w:hint="eastAsia"/>
                <w:sz w:val="24"/>
              </w:rPr>
              <w:t>本次评价选取</w:t>
            </w:r>
            <w:r>
              <w:rPr>
                <w:sz w:val="24"/>
              </w:rPr>
              <w:t>2020</w:t>
            </w:r>
            <w:r>
              <w:rPr>
                <w:rFonts w:hint="eastAsia"/>
                <w:sz w:val="24"/>
              </w:rPr>
              <w:t>年作为评价基准年，根据《</w:t>
            </w:r>
            <w:r>
              <w:rPr>
                <w:sz w:val="24"/>
              </w:rPr>
              <w:t>2020</w:t>
            </w:r>
            <w:r>
              <w:rPr>
                <w:rFonts w:hint="eastAsia"/>
                <w:sz w:val="24"/>
              </w:rPr>
              <w:t>年常州市生态环境状况公报》，判定项目所在区域环境空气质量的达标情况，具体见表3-1。</w:t>
            </w:r>
          </w:p>
          <w:p>
            <w:pPr>
              <w:pStyle w:val="6"/>
              <w:keepNext/>
              <w:jc w:val="center"/>
              <w:rPr>
                <w:rFonts w:ascii="Times New Roman" w:hAnsi="Times New Roman"/>
                <w:color w:val="auto"/>
                <w:sz w:val="24"/>
                <w:szCs w:val="24"/>
              </w:rPr>
            </w:pPr>
            <w:r>
              <w:rPr>
                <w:rFonts w:hint="eastAsia" w:ascii="Times New Roman" w:hAnsi="Times New Roman"/>
                <w:color w:val="auto"/>
                <w:sz w:val="24"/>
                <w:szCs w:val="24"/>
              </w:rPr>
              <w:t>表3-1  项目所在地环境空气质量现状</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789"/>
              <w:gridCol w:w="1228"/>
              <w:gridCol w:w="1168"/>
              <w:gridCol w:w="1006"/>
              <w:gridCol w:w="11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pct"/>
                  <w:tcBorders>
                    <w:top w:val="single" w:color="auto" w:sz="12" w:space="0"/>
                    <w:left w:val="nil"/>
                    <w:bottom w:val="single" w:color="auto" w:sz="4" w:space="0"/>
                    <w:right w:val="single" w:color="auto" w:sz="4" w:space="0"/>
                  </w:tcBorders>
                  <w:noWrap w:val="0"/>
                  <w:vAlign w:val="center"/>
                </w:tcPr>
                <w:p>
                  <w:pPr>
                    <w:adjustRightInd w:val="0"/>
                    <w:snapToGrid w:val="0"/>
                    <w:jc w:val="center"/>
                    <w:rPr>
                      <w:b/>
                      <w:kern w:val="0"/>
                    </w:rPr>
                  </w:pPr>
                  <w:r>
                    <w:rPr>
                      <w:rFonts w:hint="eastAsia"/>
                      <w:b/>
                      <w:kern w:val="0"/>
                    </w:rPr>
                    <w:t>污染物</w:t>
                  </w:r>
                </w:p>
              </w:tc>
              <w:tc>
                <w:tcPr>
                  <w:tcW w:w="1678" w:type="pct"/>
                  <w:tcBorders>
                    <w:top w:val="single" w:color="auto" w:sz="12" w:space="0"/>
                    <w:left w:val="single" w:color="auto" w:sz="4" w:space="0"/>
                    <w:bottom w:val="single" w:color="auto" w:sz="4" w:space="0"/>
                    <w:right w:val="single" w:color="auto" w:sz="4" w:space="0"/>
                  </w:tcBorders>
                  <w:noWrap w:val="0"/>
                  <w:vAlign w:val="center"/>
                </w:tcPr>
                <w:p>
                  <w:pPr>
                    <w:adjustRightInd w:val="0"/>
                    <w:snapToGrid w:val="0"/>
                    <w:jc w:val="center"/>
                    <w:rPr>
                      <w:b/>
                      <w:kern w:val="0"/>
                    </w:rPr>
                  </w:pPr>
                  <w:r>
                    <w:rPr>
                      <w:rFonts w:hint="eastAsia"/>
                      <w:b/>
                      <w:kern w:val="0"/>
                    </w:rPr>
                    <w:t>年平均指标</w:t>
                  </w:r>
                </w:p>
              </w:tc>
              <w:tc>
                <w:tcPr>
                  <w:tcW w:w="739" w:type="pct"/>
                  <w:tcBorders>
                    <w:top w:val="single" w:color="auto" w:sz="12" w:space="0"/>
                    <w:left w:val="single" w:color="auto" w:sz="4" w:space="0"/>
                    <w:bottom w:val="single" w:color="auto" w:sz="4" w:space="0"/>
                    <w:right w:val="single" w:color="auto" w:sz="4" w:space="0"/>
                  </w:tcBorders>
                  <w:noWrap w:val="0"/>
                  <w:vAlign w:val="center"/>
                </w:tcPr>
                <w:p>
                  <w:pPr>
                    <w:adjustRightInd w:val="0"/>
                    <w:snapToGrid w:val="0"/>
                    <w:jc w:val="center"/>
                    <w:rPr>
                      <w:b/>
                    </w:rPr>
                  </w:pPr>
                  <w:r>
                    <w:rPr>
                      <w:rFonts w:hint="eastAsia"/>
                      <w:b/>
                    </w:rPr>
                    <w:t>现状浓度</w:t>
                  </w:r>
                </w:p>
                <w:p>
                  <w:pPr>
                    <w:pStyle w:val="7"/>
                    <w:adjustRightInd w:val="0"/>
                    <w:snapToGrid w:val="0"/>
                    <w:jc w:val="center"/>
                    <w:rPr>
                      <w:b/>
                    </w:rPr>
                  </w:pPr>
                  <w:r>
                    <w:rPr>
                      <w:b/>
                    </w:rPr>
                    <w:t>μg/m</w:t>
                  </w:r>
                  <w:r>
                    <w:rPr>
                      <w:b/>
                      <w:vertAlign w:val="superscript"/>
                    </w:rPr>
                    <w:t>3</w:t>
                  </w:r>
                </w:p>
              </w:tc>
              <w:tc>
                <w:tcPr>
                  <w:tcW w:w="703" w:type="pct"/>
                  <w:tcBorders>
                    <w:top w:val="single" w:color="auto" w:sz="12" w:space="0"/>
                    <w:left w:val="single" w:color="auto" w:sz="4" w:space="0"/>
                    <w:bottom w:val="single" w:color="auto" w:sz="4" w:space="0"/>
                    <w:right w:val="single" w:color="auto" w:sz="4" w:space="0"/>
                  </w:tcBorders>
                  <w:noWrap w:val="0"/>
                  <w:vAlign w:val="center"/>
                </w:tcPr>
                <w:p>
                  <w:pPr>
                    <w:adjustRightInd w:val="0"/>
                    <w:snapToGrid w:val="0"/>
                    <w:jc w:val="center"/>
                    <w:rPr>
                      <w:b/>
                    </w:rPr>
                  </w:pPr>
                  <w:r>
                    <w:rPr>
                      <w:rFonts w:hint="eastAsia"/>
                      <w:b/>
                    </w:rPr>
                    <w:t>标准限值</w:t>
                  </w:r>
                </w:p>
                <w:p>
                  <w:pPr>
                    <w:pStyle w:val="7"/>
                    <w:adjustRightInd w:val="0"/>
                    <w:snapToGrid w:val="0"/>
                    <w:jc w:val="center"/>
                    <w:rPr>
                      <w:b/>
                    </w:rPr>
                  </w:pPr>
                  <w:r>
                    <w:rPr>
                      <w:b/>
                    </w:rPr>
                    <w:t>μg/m</w:t>
                  </w:r>
                  <w:r>
                    <w:rPr>
                      <w:b/>
                      <w:vertAlign w:val="superscript"/>
                    </w:rPr>
                    <w:t>3</w:t>
                  </w:r>
                </w:p>
              </w:tc>
              <w:tc>
                <w:tcPr>
                  <w:tcW w:w="606" w:type="pct"/>
                  <w:tcBorders>
                    <w:top w:val="single" w:color="auto" w:sz="12" w:space="0"/>
                    <w:left w:val="single" w:color="auto" w:sz="4" w:space="0"/>
                    <w:bottom w:val="single" w:color="auto" w:sz="4" w:space="0"/>
                    <w:right w:val="single" w:color="auto" w:sz="4" w:space="0"/>
                  </w:tcBorders>
                  <w:noWrap w:val="0"/>
                  <w:vAlign w:val="center"/>
                </w:tcPr>
                <w:p>
                  <w:pPr>
                    <w:adjustRightInd w:val="0"/>
                    <w:snapToGrid w:val="0"/>
                    <w:jc w:val="center"/>
                    <w:rPr>
                      <w:b/>
                      <w:kern w:val="0"/>
                    </w:rPr>
                  </w:pPr>
                  <w:r>
                    <w:rPr>
                      <w:rFonts w:hint="eastAsia"/>
                      <w:b/>
                      <w:kern w:val="0"/>
                    </w:rPr>
                    <w:t>占标率</w:t>
                  </w:r>
                </w:p>
                <w:p>
                  <w:pPr>
                    <w:adjustRightInd w:val="0"/>
                    <w:snapToGrid w:val="0"/>
                    <w:jc w:val="center"/>
                    <w:rPr>
                      <w:b/>
                      <w:kern w:val="0"/>
                    </w:rPr>
                  </w:pPr>
                  <w:r>
                    <w:rPr>
                      <w:b/>
                      <w:kern w:val="0"/>
                    </w:rPr>
                    <w:t>%</w:t>
                  </w:r>
                </w:p>
              </w:tc>
              <w:tc>
                <w:tcPr>
                  <w:tcW w:w="710" w:type="pct"/>
                  <w:tcBorders>
                    <w:top w:val="single" w:color="auto" w:sz="12" w:space="0"/>
                    <w:left w:val="single" w:color="auto" w:sz="4" w:space="0"/>
                    <w:bottom w:val="single" w:color="auto" w:sz="4" w:space="0"/>
                    <w:right w:val="nil"/>
                  </w:tcBorders>
                  <w:noWrap w:val="0"/>
                  <w:vAlign w:val="center"/>
                </w:tcPr>
                <w:p>
                  <w:pPr>
                    <w:adjustRightInd w:val="0"/>
                    <w:snapToGrid w:val="0"/>
                    <w:jc w:val="center"/>
                    <w:rPr>
                      <w:b/>
                      <w:kern w:val="0"/>
                    </w:rPr>
                  </w:pPr>
                  <w:r>
                    <w:rPr>
                      <w:rFonts w:hint="eastAsia"/>
                      <w:b/>
                      <w:kern w:val="0"/>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pct"/>
                  <w:tcBorders>
                    <w:top w:val="single" w:color="auto" w:sz="4" w:space="0"/>
                    <w:left w:val="nil"/>
                    <w:bottom w:val="single" w:color="auto" w:sz="4" w:space="0"/>
                    <w:right w:val="single" w:color="auto" w:sz="4" w:space="0"/>
                  </w:tcBorders>
                  <w:noWrap w:val="0"/>
                  <w:vAlign w:val="center"/>
                </w:tcPr>
                <w:p>
                  <w:pPr>
                    <w:adjustRightInd w:val="0"/>
                    <w:snapToGrid w:val="0"/>
                    <w:jc w:val="center"/>
                    <w:rPr>
                      <w:kern w:val="0"/>
                    </w:rPr>
                  </w:pPr>
                  <w:r>
                    <w:rPr>
                      <w:kern w:val="0"/>
                    </w:rPr>
                    <w:t>PM</w:t>
                  </w:r>
                  <w:r>
                    <w:rPr>
                      <w:kern w:val="0"/>
                      <w:vertAlign w:val="subscript"/>
                    </w:rPr>
                    <w:t>2.5</w:t>
                  </w:r>
                </w:p>
              </w:tc>
              <w:tc>
                <w:tcPr>
                  <w:tcW w:w="167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rFonts w:hint="eastAsia"/>
                      <w:kern w:val="0"/>
                    </w:rPr>
                    <w:t>年平均质量浓度</w:t>
                  </w:r>
                </w:p>
              </w:tc>
              <w:tc>
                <w:tcPr>
                  <w:tcW w:w="7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39</w:t>
                  </w:r>
                </w:p>
              </w:tc>
              <w:tc>
                <w:tcPr>
                  <w:tcW w:w="7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35</w:t>
                  </w:r>
                </w:p>
              </w:tc>
              <w:tc>
                <w:tcPr>
                  <w:tcW w:w="1007" w:type="dxa"/>
                  <w:tcBorders>
                    <w:top w:val="single" w:color="auto" w:sz="4" w:space="0"/>
                    <w:left w:val="nil"/>
                    <w:bottom w:val="single" w:color="auto" w:sz="8" w:space="0"/>
                    <w:right w:val="single" w:color="auto" w:sz="8" w:space="0"/>
                  </w:tcBorders>
                  <w:noWrap w:val="0"/>
                  <w:vAlign w:val="center"/>
                </w:tcPr>
                <w:p>
                  <w:pPr>
                    <w:widowControl/>
                    <w:jc w:val="center"/>
                    <w:textAlignment w:val="center"/>
                    <w:rPr>
                      <w:szCs w:val="21"/>
                    </w:rPr>
                  </w:pPr>
                  <w:r>
                    <w:rPr>
                      <w:kern w:val="0"/>
                      <w:szCs w:val="21"/>
                      <w:lang w:bidi="ar"/>
                    </w:rPr>
                    <w:t>111.4</w:t>
                  </w:r>
                </w:p>
              </w:tc>
              <w:tc>
                <w:tcPr>
                  <w:tcW w:w="71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kern w:val="0"/>
                    </w:rPr>
                  </w:pPr>
                  <w:r>
                    <w:rPr>
                      <w:rFonts w:hint="eastAsia"/>
                      <w:kern w:val="0"/>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pct"/>
                  <w:tcBorders>
                    <w:top w:val="single" w:color="auto" w:sz="4" w:space="0"/>
                    <w:left w:val="nil"/>
                    <w:bottom w:val="single" w:color="auto" w:sz="4" w:space="0"/>
                    <w:right w:val="single" w:color="auto" w:sz="4" w:space="0"/>
                  </w:tcBorders>
                  <w:noWrap w:val="0"/>
                  <w:vAlign w:val="center"/>
                </w:tcPr>
                <w:p>
                  <w:pPr>
                    <w:adjustRightInd w:val="0"/>
                    <w:snapToGrid w:val="0"/>
                    <w:jc w:val="center"/>
                    <w:rPr>
                      <w:kern w:val="0"/>
                    </w:rPr>
                  </w:pPr>
                  <w:r>
                    <w:rPr>
                      <w:kern w:val="0"/>
                    </w:rPr>
                    <w:t>PM</w:t>
                  </w:r>
                  <w:r>
                    <w:rPr>
                      <w:kern w:val="0"/>
                      <w:vertAlign w:val="subscript"/>
                    </w:rPr>
                    <w:t>10</w:t>
                  </w:r>
                </w:p>
              </w:tc>
              <w:tc>
                <w:tcPr>
                  <w:tcW w:w="167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rFonts w:hint="eastAsia"/>
                      <w:kern w:val="0"/>
                    </w:rPr>
                    <w:t>年平均质量浓度</w:t>
                  </w:r>
                </w:p>
              </w:tc>
              <w:tc>
                <w:tcPr>
                  <w:tcW w:w="7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61</w:t>
                  </w:r>
                </w:p>
              </w:tc>
              <w:tc>
                <w:tcPr>
                  <w:tcW w:w="7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70</w:t>
                  </w:r>
                </w:p>
              </w:tc>
              <w:tc>
                <w:tcPr>
                  <w:tcW w:w="1007" w:type="dxa"/>
                  <w:tcBorders>
                    <w:top w:val="nil"/>
                    <w:left w:val="nil"/>
                    <w:bottom w:val="single" w:color="auto" w:sz="8" w:space="0"/>
                    <w:right w:val="single" w:color="auto" w:sz="8" w:space="0"/>
                  </w:tcBorders>
                  <w:noWrap w:val="0"/>
                  <w:vAlign w:val="center"/>
                </w:tcPr>
                <w:p>
                  <w:pPr>
                    <w:widowControl/>
                    <w:jc w:val="center"/>
                    <w:textAlignment w:val="center"/>
                    <w:rPr>
                      <w:szCs w:val="21"/>
                    </w:rPr>
                  </w:pPr>
                  <w:r>
                    <w:rPr>
                      <w:kern w:val="0"/>
                      <w:szCs w:val="21"/>
                      <w:lang w:bidi="ar"/>
                    </w:rPr>
                    <w:t>87.1</w:t>
                  </w:r>
                </w:p>
              </w:tc>
              <w:tc>
                <w:tcPr>
                  <w:tcW w:w="71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kern w:val="0"/>
                    </w:rPr>
                  </w:pPr>
                  <w:r>
                    <w:rPr>
                      <w:rFonts w:hint="eastAsia"/>
                      <w:kern w:val="0"/>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pct"/>
                  <w:tcBorders>
                    <w:top w:val="single" w:color="auto" w:sz="4" w:space="0"/>
                    <w:left w:val="nil"/>
                    <w:bottom w:val="single" w:color="auto" w:sz="4" w:space="0"/>
                    <w:right w:val="single" w:color="auto" w:sz="4" w:space="0"/>
                  </w:tcBorders>
                  <w:noWrap w:val="0"/>
                  <w:vAlign w:val="center"/>
                </w:tcPr>
                <w:p>
                  <w:pPr>
                    <w:adjustRightInd w:val="0"/>
                    <w:snapToGrid w:val="0"/>
                    <w:jc w:val="center"/>
                    <w:rPr>
                      <w:kern w:val="0"/>
                    </w:rPr>
                  </w:pPr>
                  <w:r>
                    <w:rPr>
                      <w:kern w:val="0"/>
                    </w:rPr>
                    <w:t>SO</w:t>
                  </w:r>
                  <w:r>
                    <w:rPr>
                      <w:kern w:val="0"/>
                      <w:vertAlign w:val="subscript"/>
                    </w:rPr>
                    <w:t>2</w:t>
                  </w:r>
                </w:p>
              </w:tc>
              <w:tc>
                <w:tcPr>
                  <w:tcW w:w="167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rFonts w:hint="eastAsia"/>
                      <w:kern w:val="0"/>
                    </w:rPr>
                    <w:t>年平均质量浓度</w:t>
                  </w:r>
                </w:p>
              </w:tc>
              <w:tc>
                <w:tcPr>
                  <w:tcW w:w="7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kern w:val="0"/>
                    </w:rPr>
                  </w:pPr>
                  <w:r>
                    <w:rPr>
                      <w:kern w:val="0"/>
                    </w:rPr>
                    <w:t>9</w:t>
                  </w:r>
                </w:p>
              </w:tc>
              <w:tc>
                <w:tcPr>
                  <w:tcW w:w="7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60</w:t>
                  </w:r>
                </w:p>
              </w:tc>
              <w:tc>
                <w:tcPr>
                  <w:tcW w:w="1007" w:type="dxa"/>
                  <w:tcBorders>
                    <w:top w:val="nil"/>
                    <w:left w:val="nil"/>
                    <w:bottom w:val="single" w:color="auto" w:sz="8" w:space="0"/>
                    <w:right w:val="single" w:color="auto" w:sz="8" w:space="0"/>
                  </w:tcBorders>
                  <w:noWrap w:val="0"/>
                  <w:vAlign w:val="center"/>
                </w:tcPr>
                <w:p>
                  <w:pPr>
                    <w:widowControl/>
                    <w:jc w:val="center"/>
                    <w:textAlignment w:val="center"/>
                    <w:rPr>
                      <w:szCs w:val="21"/>
                    </w:rPr>
                  </w:pPr>
                  <w:r>
                    <w:rPr>
                      <w:kern w:val="0"/>
                      <w:szCs w:val="21"/>
                      <w:lang w:bidi="ar"/>
                    </w:rPr>
                    <w:t>15.0</w:t>
                  </w:r>
                </w:p>
              </w:tc>
              <w:tc>
                <w:tcPr>
                  <w:tcW w:w="71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kern w:val="0"/>
                    </w:rPr>
                  </w:pPr>
                  <w:r>
                    <w:rPr>
                      <w:rFonts w:hint="eastAsia"/>
                      <w:kern w:val="0"/>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pct"/>
                  <w:tcBorders>
                    <w:top w:val="single" w:color="auto" w:sz="4" w:space="0"/>
                    <w:left w:val="nil"/>
                    <w:bottom w:val="single" w:color="auto" w:sz="4" w:space="0"/>
                    <w:right w:val="single" w:color="auto" w:sz="4" w:space="0"/>
                  </w:tcBorders>
                  <w:noWrap w:val="0"/>
                  <w:vAlign w:val="center"/>
                </w:tcPr>
                <w:p>
                  <w:pPr>
                    <w:adjustRightInd w:val="0"/>
                    <w:snapToGrid w:val="0"/>
                    <w:jc w:val="center"/>
                    <w:rPr>
                      <w:kern w:val="0"/>
                    </w:rPr>
                  </w:pPr>
                  <w:r>
                    <w:rPr>
                      <w:kern w:val="0"/>
                    </w:rPr>
                    <w:t>NO</w:t>
                  </w:r>
                  <w:r>
                    <w:rPr>
                      <w:kern w:val="0"/>
                      <w:vertAlign w:val="subscript"/>
                    </w:rPr>
                    <w:t>2</w:t>
                  </w:r>
                </w:p>
              </w:tc>
              <w:tc>
                <w:tcPr>
                  <w:tcW w:w="167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rFonts w:hint="eastAsia"/>
                      <w:kern w:val="0"/>
                    </w:rPr>
                    <w:t>年平均质量浓度</w:t>
                  </w:r>
                </w:p>
              </w:tc>
              <w:tc>
                <w:tcPr>
                  <w:tcW w:w="7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35</w:t>
                  </w:r>
                </w:p>
              </w:tc>
              <w:tc>
                <w:tcPr>
                  <w:tcW w:w="7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40</w:t>
                  </w:r>
                </w:p>
              </w:tc>
              <w:tc>
                <w:tcPr>
                  <w:tcW w:w="1007" w:type="dxa"/>
                  <w:tcBorders>
                    <w:top w:val="nil"/>
                    <w:left w:val="nil"/>
                    <w:bottom w:val="single" w:color="auto" w:sz="8" w:space="0"/>
                    <w:right w:val="single" w:color="auto" w:sz="8" w:space="0"/>
                  </w:tcBorders>
                  <w:noWrap w:val="0"/>
                  <w:vAlign w:val="center"/>
                </w:tcPr>
                <w:p>
                  <w:pPr>
                    <w:widowControl/>
                    <w:jc w:val="center"/>
                    <w:textAlignment w:val="center"/>
                    <w:rPr>
                      <w:szCs w:val="21"/>
                    </w:rPr>
                  </w:pPr>
                  <w:r>
                    <w:rPr>
                      <w:kern w:val="0"/>
                      <w:szCs w:val="21"/>
                      <w:lang w:bidi="ar"/>
                    </w:rPr>
                    <w:t>87.5</w:t>
                  </w:r>
                </w:p>
              </w:tc>
              <w:tc>
                <w:tcPr>
                  <w:tcW w:w="71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kern w:val="0"/>
                    </w:rPr>
                  </w:pPr>
                  <w:r>
                    <w:rPr>
                      <w:rFonts w:hint="eastAsia"/>
                      <w:kern w:val="0"/>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pct"/>
                  <w:tcBorders>
                    <w:top w:val="single" w:color="auto" w:sz="4" w:space="0"/>
                    <w:left w:val="nil"/>
                    <w:bottom w:val="single" w:color="auto" w:sz="4" w:space="0"/>
                    <w:right w:val="single" w:color="auto" w:sz="4" w:space="0"/>
                  </w:tcBorders>
                  <w:noWrap w:val="0"/>
                  <w:vAlign w:val="center"/>
                </w:tcPr>
                <w:p>
                  <w:pPr>
                    <w:adjustRightInd w:val="0"/>
                    <w:snapToGrid w:val="0"/>
                    <w:jc w:val="center"/>
                    <w:rPr>
                      <w:kern w:val="0"/>
                    </w:rPr>
                  </w:pPr>
                  <w:r>
                    <w:rPr>
                      <w:kern w:val="0"/>
                    </w:rPr>
                    <w:t>CO</w:t>
                  </w:r>
                </w:p>
              </w:tc>
              <w:tc>
                <w:tcPr>
                  <w:tcW w:w="167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rFonts w:hint="eastAsia"/>
                      <w:kern w:val="0"/>
                    </w:rPr>
                    <w:t>日均值的第95百分位数</w:t>
                  </w:r>
                </w:p>
              </w:tc>
              <w:tc>
                <w:tcPr>
                  <w:tcW w:w="7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1200</w:t>
                  </w:r>
                </w:p>
              </w:tc>
              <w:tc>
                <w:tcPr>
                  <w:tcW w:w="7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4000</w:t>
                  </w:r>
                </w:p>
              </w:tc>
              <w:tc>
                <w:tcPr>
                  <w:tcW w:w="1007" w:type="dxa"/>
                  <w:tcBorders>
                    <w:top w:val="nil"/>
                    <w:left w:val="nil"/>
                    <w:bottom w:val="single" w:color="auto" w:sz="8" w:space="0"/>
                    <w:right w:val="single" w:color="auto" w:sz="8" w:space="0"/>
                  </w:tcBorders>
                  <w:noWrap w:val="0"/>
                  <w:vAlign w:val="center"/>
                </w:tcPr>
                <w:p>
                  <w:pPr>
                    <w:widowControl/>
                    <w:jc w:val="center"/>
                    <w:textAlignment w:val="center"/>
                    <w:rPr>
                      <w:szCs w:val="21"/>
                    </w:rPr>
                  </w:pPr>
                  <w:r>
                    <w:rPr>
                      <w:kern w:val="0"/>
                      <w:szCs w:val="21"/>
                      <w:lang w:bidi="ar"/>
                    </w:rPr>
                    <w:t>30.0</w:t>
                  </w:r>
                </w:p>
              </w:tc>
              <w:tc>
                <w:tcPr>
                  <w:tcW w:w="710" w:type="pct"/>
                  <w:tcBorders>
                    <w:top w:val="single" w:color="auto" w:sz="4" w:space="0"/>
                    <w:left w:val="single" w:color="auto" w:sz="4" w:space="0"/>
                    <w:bottom w:val="single" w:color="auto" w:sz="4" w:space="0"/>
                    <w:right w:val="nil"/>
                  </w:tcBorders>
                  <w:noWrap w:val="0"/>
                  <w:vAlign w:val="center"/>
                </w:tcPr>
                <w:p>
                  <w:pPr>
                    <w:adjustRightInd w:val="0"/>
                    <w:snapToGrid w:val="0"/>
                    <w:jc w:val="center"/>
                    <w:rPr>
                      <w:kern w:val="0"/>
                    </w:rPr>
                  </w:pPr>
                  <w:r>
                    <w:rPr>
                      <w:rFonts w:hint="eastAsia"/>
                      <w:kern w:val="0"/>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pct"/>
                  <w:tcBorders>
                    <w:top w:val="single" w:color="auto" w:sz="4" w:space="0"/>
                    <w:left w:val="nil"/>
                    <w:bottom w:val="single" w:color="auto" w:sz="12" w:space="0"/>
                    <w:right w:val="single" w:color="auto" w:sz="4" w:space="0"/>
                  </w:tcBorders>
                  <w:noWrap w:val="0"/>
                  <w:vAlign w:val="center"/>
                </w:tcPr>
                <w:p>
                  <w:pPr>
                    <w:adjustRightInd w:val="0"/>
                    <w:snapToGrid w:val="0"/>
                    <w:jc w:val="center"/>
                    <w:rPr>
                      <w:kern w:val="0"/>
                    </w:rPr>
                  </w:pPr>
                  <w:r>
                    <w:rPr>
                      <w:kern w:val="0"/>
                    </w:rPr>
                    <w:t>O</w:t>
                  </w:r>
                  <w:r>
                    <w:rPr>
                      <w:kern w:val="0"/>
                      <w:vertAlign w:val="subscript"/>
                    </w:rPr>
                    <w:t>3</w:t>
                  </w:r>
                </w:p>
              </w:tc>
              <w:tc>
                <w:tcPr>
                  <w:tcW w:w="1678" w:type="pct"/>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kern w:val="0"/>
                    </w:rPr>
                  </w:pPr>
                  <w:r>
                    <w:rPr>
                      <w:rFonts w:hint="eastAsia"/>
                      <w:kern w:val="0"/>
                    </w:rPr>
                    <w:t>日最大8小时滑动平均值的第90百分位数</w:t>
                  </w:r>
                </w:p>
              </w:tc>
              <w:tc>
                <w:tcPr>
                  <w:tcW w:w="739" w:type="pct"/>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kern w:val="0"/>
                    </w:rPr>
                  </w:pPr>
                  <w:r>
                    <w:rPr>
                      <w:kern w:val="0"/>
                    </w:rPr>
                    <w:t>167</w:t>
                  </w:r>
                </w:p>
              </w:tc>
              <w:tc>
                <w:tcPr>
                  <w:tcW w:w="703" w:type="pct"/>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kern w:val="0"/>
                    </w:rPr>
                  </w:pPr>
                  <w:r>
                    <w:rPr>
                      <w:kern w:val="0"/>
                    </w:rPr>
                    <w:t>160</w:t>
                  </w:r>
                </w:p>
              </w:tc>
              <w:tc>
                <w:tcPr>
                  <w:tcW w:w="1007" w:type="dxa"/>
                  <w:tcBorders>
                    <w:top w:val="nil"/>
                    <w:left w:val="nil"/>
                    <w:bottom w:val="single" w:color="auto" w:sz="12" w:space="0"/>
                    <w:right w:val="single" w:color="auto" w:sz="8" w:space="0"/>
                  </w:tcBorders>
                  <w:noWrap w:val="0"/>
                  <w:vAlign w:val="center"/>
                </w:tcPr>
                <w:p>
                  <w:pPr>
                    <w:widowControl/>
                    <w:jc w:val="center"/>
                    <w:textAlignment w:val="center"/>
                    <w:rPr>
                      <w:szCs w:val="21"/>
                    </w:rPr>
                  </w:pPr>
                  <w:r>
                    <w:rPr>
                      <w:kern w:val="0"/>
                      <w:szCs w:val="21"/>
                      <w:lang w:bidi="ar"/>
                    </w:rPr>
                    <w:t>104.4</w:t>
                  </w:r>
                </w:p>
              </w:tc>
              <w:tc>
                <w:tcPr>
                  <w:tcW w:w="710" w:type="pct"/>
                  <w:tcBorders>
                    <w:top w:val="single" w:color="auto" w:sz="4" w:space="0"/>
                    <w:left w:val="single" w:color="auto" w:sz="4" w:space="0"/>
                    <w:bottom w:val="single" w:color="auto" w:sz="12" w:space="0"/>
                    <w:right w:val="nil"/>
                  </w:tcBorders>
                  <w:noWrap w:val="0"/>
                  <w:vAlign w:val="center"/>
                </w:tcPr>
                <w:p>
                  <w:pPr>
                    <w:adjustRightInd w:val="0"/>
                    <w:snapToGrid w:val="0"/>
                    <w:jc w:val="center"/>
                    <w:rPr>
                      <w:kern w:val="0"/>
                    </w:rPr>
                  </w:pPr>
                  <w:r>
                    <w:rPr>
                      <w:rFonts w:hint="eastAsia"/>
                      <w:kern w:val="0"/>
                    </w:rPr>
                    <w:t>不达标</w:t>
                  </w:r>
                </w:p>
              </w:tc>
            </w:tr>
          </w:tbl>
          <w:p>
            <w:pPr>
              <w:adjustRightInd w:val="0"/>
              <w:snapToGrid w:val="0"/>
              <w:spacing w:before="120" w:beforeLines="50" w:line="360" w:lineRule="auto"/>
              <w:ind w:firstLine="480" w:firstLineChars="200"/>
              <w:jc w:val="left"/>
              <w:rPr>
                <w:sz w:val="24"/>
              </w:rPr>
            </w:pPr>
            <w:r>
              <w:rPr>
                <w:sz w:val="24"/>
              </w:rPr>
              <w:t>2020</w:t>
            </w:r>
            <w:r>
              <w:rPr>
                <w:rFonts w:hint="eastAsia"/>
                <w:sz w:val="24"/>
              </w:rPr>
              <w:t>年常州市环境空气中SO</w:t>
            </w:r>
            <w:r>
              <w:rPr>
                <w:sz w:val="24"/>
                <w:vertAlign w:val="subscript"/>
              </w:rPr>
              <w:t>2</w:t>
            </w:r>
            <w:r>
              <w:rPr>
                <w:rFonts w:hint="eastAsia"/>
                <w:sz w:val="24"/>
              </w:rPr>
              <w:t>年平均值、NO</w:t>
            </w:r>
            <w:r>
              <w:rPr>
                <w:sz w:val="24"/>
                <w:vertAlign w:val="subscript"/>
              </w:rPr>
              <w:t>2</w:t>
            </w:r>
            <w:r>
              <w:rPr>
                <w:rFonts w:hint="eastAsia"/>
                <w:sz w:val="24"/>
              </w:rPr>
              <w:t>年平均值、PM</w:t>
            </w:r>
            <w:r>
              <w:rPr>
                <w:sz w:val="24"/>
                <w:vertAlign w:val="subscript"/>
              </w:rPr>
              <w:t>10</w:t>
            </w:r>
            <w:r>
              <w:rPr>
                <w:rFonts w:hint="eastAsia"/>
                <w:sz w:val="24"/>
              </w:rPr>
              <w:t>年平均值和CO的日均值的第95百分位数满足《环境空气质量标准》（GB3095-2012）中二级标准，PM</w:t>
            </w:r>
            <w:r>
              <w:rPr>
                <w:sz w:val="24"/>
                <w:vertAlign w:val="subscript"/>
              </w:rPr>
              <w:t>2.5</w:t>
            </w:r>
            <w:r>
              <w:rPr>
                <w:rFonts w:hint="eastAsia"/>
                <w:sz w:val="24"/>
              </w:rPr>
              <w:t>年平均值和O</w:t>
            </w:r>
            <w:r>
              <w:rPr>
                <w:sz w:val="24"/>
                <w:vertAlign w:val="subscript"/>
              </w:rPr>
              <w:t>3</w:t>
            </w:r>
            <w:r>
              <w:rPr>
                <w:rFonts w:hint="eastAsia"/>
                <w:sz w:val="24"/>
              </w:rPr>
              <w:t>日最大8小时滑动平均值的第90百分位数超过《环境空气质量标准》（GB3095-2012）中二级标准，因此判定为非达标区域。</w:t>
            </w:r>
          </w:p>
          <w:p>
            <w:pPr>
              <w:spacing w:line="360" w:lineRule="auto"/>
              <w:ind w:firstLine="472" w:firstLineChars="196"/>
              <w:rPr>
                <w:b/>
                <w:bCs/>
                <w:sz w:val="24"/>
              </w:rPr>
            </w:pPr>
            <w:r>
              <w:rPr>
                <w:b/>
                <w:bCs/>
                <w:sz w:val="24"/>
              </w:rPr>
              <w:t>2、地表水</w:t>
            </w:r>
          </w:p>
          <w:p>
            <w:pPr>
              <w:spacing w:line="360" w:lineRule="auto"/>
              <w:ind w:firstLine="470" w:firstLineChars="196"/>
              <w:rPr>
                <w:rFonts w:hint="eastAsia"/>
                <w:sz w:val="24"/>
                <w:lang w:val="zh-TW"/>
              </w:rPr>
            </w:pPr>
            <w:r>
              <w:rPr>
                <w:sz w:val="24"/>
              </w:rPr>
              <w:t>根据</w:t>
            </w:r>
            <w:r>
              <w:rPr>
                <w:rFonts w:hint="eastAsia"/>
                <w:sz w:val="24"/>
              </w:rPr>
              <w:t>《</w:t>
            </w:r>
            <w:r>
              <w:rPr>
                <w:sz w:val="24"/>
              </w:rPr>
              <w:t>2020年</w:t>
            </w:r>
            <w:r>
              <w:rPr>
                <w:rFonts w:hint="eastAsia"/>
                <w:sz w:val="24"/>
              </w:rPr>
              <w:t>常州市生态环境状况公报》</w:t>
            </w:r>
            <w:r>
              <w:rPr>
                <w:sz w:val="24"/>
              </w:rPr>
              <w:t>，</w:t>
            </w:r>
            <w:r>
              <w:rPr>
                <w:rFonts w:hint="eastAsia"/>
                <w:sz w:val="24"/>
                <w:lang w:val="zh-TW"/>
              </w:rPr>
              <w:t>20</w:t>
            </w:r>
            <w:r>
              <w:rPr>
                <w:rFonts w:hint="eastAsia"/>
                <w:sz w:val="24"/>
              </w:rPr>
              <w:t>20</w:t>
            </w:r>
            <w:r>
              <w:rPr>
                <w:rFonts w:hint="eastAsia"/>
                <w:sz w:val="24"/>
                <w:lang w:val="zh-TW"/>
              </w:rPr>
              <w:t>年，根据“十三五”水质考核点位和目标要求，常州市</w:t>
            </w:r>
            <w:r>
              <w:rPr>
                <w:rFonts w:hint="eastAsia"/>
                <w:sz w:val="24"/>
              </w:rPr>
              <w:t>32个断面（漕桥河裴家断面因为工程建设暂停考核）中，III类及以上水质断面27个，占比84.4%；IV</w:t>
            </w:r>
            <w:r>
              <w:rPr>
                <w:rFonts w:hint="eastAsia"/>
                <w:sz w:val="24"/>
                <w:lang w:val="zh-TW"/>
              </w:rPr>
              <w:t>类水质断面</w:t>
            </w:r>
            <w:r>
              <w:rPr>
                <w:rFonts w:hint="eastAsia"/>
                <w:sz w:val="24"/>
              </w:rPr>
              <w:t>2</w:t>
            </w:r>
            <w:r>
              <w:rPr>
                <w:rFonts w:hint="eastAsia"/>
                <w:sz w:val="24"/>
                <w:lang w:val="zh-TW"/>
              </w:rPr>
              <w:t>个，占比为</w:t>
            </w:r>
            <w:r>
              <w:rPr>
                <w:rFonts w:hint="eastAsia"/>
                <w:sz w:val="24"/>
              </w:rPr>
              <w:t>6.2</w:t>
            </w:r>
            <w:r>
              <w:rPr>
                <w:rFonts w:hint="eastAsia"/>
                <w:sz w:val="24"/>
                <w:lang w:val="zh-TW"/>
              </w:rPr>
              <w:t>%；</w:t>
            </w:r>
            <w:r>
              <w:rPr>
                <w:rFonts w:hint="eastAsia"/>
                <w:sz w:val="24"/>
              </w:rPr>
              <w:t>V</w:t>
            </w:r>
            <w:r>
              <w:rPr>
                <w:rFonts w:hint="eastAsia"/>
                <w:sz w:val="24"/>
                <w:lang w:val="zh-TW"/>
              </w:rPr>
              <w:t>类水质断面3个，占比为</w:t>
            </w:r>
            <w:r>
              <w:rPr>
                <w:rFonts w:hint="eastAsia"/>
                <w:sz w:val="24"/>
              </w:rPr>
              <w:t>9.4</w:t>
            </w:r>
            <w:r>
              <w:rPr>
                <w:rFonts w:hint="eastAsia"/>
                <w:sz w:val="24"/>
                <w:lang w:val="zh-TW"/>
              </w:rPr>
              <w:t>%；无劣</w:t>
            </w:r>
            <w:r>
              <w:rPr>
                <w:rFonts w:hint="eastAsia"/>
                <w:sz w:val="24"/>
              </w:rPr>
              <w:t>V类水质断面；优良水体比例为84.4%</w:t>
            </w:r>
            <w:r>
              <w:rPr>
                <w:rFonts w:hint="eastAsia"/>
                <w:sz w:val="24"/>
                <w:lang w:val="zh-TW"/>
              </w:rPr>
              <w:t>。全市化学需氧量、氨氮、总氮和总磷的年排放总量分别为</w:t>
            </w:r>
            <w:r>
              <w:rPr>
                <w:rFonts w:hint="eastAsia"/>
                <w:sz w:val="24"/>
              </w:rPr>
              <w:t>2.84</w:t>
            </w:r>
            <w:r>
              <w:rPr>
                <w:rFonts w:hint="eastAsia"/>
                <w:sz w:val="24"/>
                <w:lang w:val="zh-TW"/>
              </w:rPr>
              <w:t>吨、0.4</w:t>
            </w:r>
            <w:r>
              <w:rPr>
                <w:rFonts w:hint="eastAsia"/>
                <w:sz w:val="24"/>
              </w:rPr>
              <w:t>2</w:t>
            </w:r>
            <w:r>
              <w:rPr>
                <w:rFonts w:hint="eastAsia"/>
                <w:sz w:val="24"/>
                <w:lang w:val="zh-TW"/>
              </w:rPr>
              <w:t>万吨、1.0</w:t>
            </w:r>
            <w:r>
              <w:rPr>
                <w:rFonts w:hint="eastAsia"/>
                <w:sz w:val="24"/>
              </w:rPr>
              <w:t>0</w:t>
            </w:r>
            <w:r>
              <w:rPr>
                <w:rFonts w:hint="eastAsia"/>
                <w:sz w:val="24"/>
                <w:lang w:val="zh-TW"/>
              </w:rPr>
              <w:t>万吨和0.0</w:t>
            </w:r>
            <w:r>
              <w:rPr>
                <w:rFonts w:hint="eastAsia"/>
                <w:sz w:val="24"/>
              </w:rPr>
              <w:t>75</w:t>
            </w:r>
            <w:r>
              <w:rPr>
                <w:rFonts w:hint="eastAsia"/>
                <w:sz w:val="24"/>
                <w:lang w:val="zh-TW"/>
              </w:rPr>
              <w:t>万吨。</w:t>
            </w:r>
          </w:p>
          <w:p>
            <w:pPr>
              <w:spacing w:line="360" w:lineRule="auto"/>
              <w:ind w:firstLine="470" w:firstLineChars="196"/>
              <w:rPr>
                <w:sz w:val="24"/>
              </w:rPr>
            </w:pPr>
            <w:r>
              <w:rPr>
                <w:sz w:val="24"/>
              </w:rPr>
              <w:t>本项目纳污水体为尧塘河，委托</w:t>
            </w:r>
            <w:r>
              <w:rPr>
                <w:rFonts w:hint="eastAsia" w:ascii="宋体" w:hAnsi="宋体"/>
                <w:sz w:val="24"/>
              </w:rPr>
              <w:t>江苏久诚检验检测有限公司在尧塘河金坛第二污厂排污口上</w:t>
            </w:r>
            <w:r>
              <w:rPr>
                <w:sz w:val="24"/>
              </w:rPr>
              <w:t>游500米处和下游2000米处pH值、化学需氧量、氨氮、总磷进行检测，采样时间为2021年7月8日~7月10日，检测报告编号</w:t>
            </w:r>
            <w:r>
              <w:rPr>
                <w:rFonts w:hint="eastAsia" w:ascii="宋体" w:hAnsi="宋体" w:cs="宋体"/>
                <w:sz w:val="24"/>
              </w:rPr>
              <w:t>“</w:t>
            </w:r>
            <w:r>
              <w:rPr>
                <w:sz w:val="24"/>
              </w:rPr>
              <w:t>JCH202100272</w:t>
            </w:r>
            <w:r>
              <w:rPr>
                <w:rFonts w:hint="eastAsia" w:ascii="宋体" w:hAnsi="宋体" w:cs="宋体"/>
                <w:sz w:val="24"/>
              </w:rPr>
              <w:t>”</w:t>
            </w:r>
            <w:r>
              <w:rPr>
                <w:sz w:val="24"/>
              </w:rPr>
              <w:t>，监测数据详见表3-4。</w:t>
            </w:r>
          </w:p>
          <w:p>
            <w:pPr>
              <w:jc w:val="center"/>
              <w:rPr>
                <w:b/>
                <w:bCs/>
                <w:sz w:val="24"/>
              </w:rPr>
            </w:pPr>
            <w:r>
              <w:rPr>
                <w:b/>
                <w:bCs/>
                <w:sz w:val="24"/>
              </w:rPr>
              <w:t>表3</w:t>
            </w:r>
            <w:r>
              <w:rPr>
                <w:rFonts w:hint="eastAsia"/>
                <w:b/>
                <w:bCs/>
                <w:sz w:val="24"/>
              </w:rPr>
              <w:t>-</w:t>
            </w:r>
            <w:r>
              <w:rPr>
                <w:rFonts w:hint="eastAsia"/>
                <w:b/>
                <w:bCs/>
                <w:sz w:val="24"/>
                <w:lang w:val="en-US" w:eastAsia="zh-CN"/>
              </w:rPr>
              <w:t>2</w:t>
            </w:r>
            <w:r>
              <w:rPr>
                <w:rFonts w:hint="eastAsia"/>
                <w:b/>
                <w:bCs/>
                <w:sz w:val="24"/>
              </w:rPr>
              <w:t xml:space="preserve"> </w:t>
            </w:r>
            <w:r>
              <w:rPr>
                <w:b/>
                <w:bCs/>
                <w:sz w:val="24"/>
              </w:rPr>
              <w:t xml:space="preserve"> 水质监测结果  单位：mg/L，pH无量纲</w:t>
            </w:r>
          </w:p>
          <w:tbl>
            <w:tblPr>
              <w:tblStyle w:val="23"/>
              <w:tblW w:w="8384"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79"/>
              <w:gridCol w:w="1139"/>
              <w:gridCol w:w="761"/>
              <w:gridCol w:w="800"/>
              <w:gridCol w:w="779"/>
              <w:gridCol w:w="823"/>
              <w:gridCol w:w="902"/>
              <w:gridCol w:w="885"/>
              <w:gridCol w:w="741"/>
              <w:gridCol w:w="67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79" w:type="dxa"/>
                  <w:vMerge w:val="restart"/>
                  <w:tcBorders>
                    <w:top w:val="single" w:color="auto" w:sz="12" w:space="0"/>
                    <w:left w:val="nil"/>
                    <w:bottom w:val="single" w:color="auto" w:sz="2" w:space="0"/>
                    <w:right w:val="single" w:color="auto" w:sz="2" w:space="0"/>
                  </w:tcBorders>
                  <w:noWrap w:val="0"/>
                  <w:vAlign w:val="center"/>
                </w:tcPr>
                <w:p>
                  <w:pPr>
                    <w:jc w:val="center"/>
                    <w:rPr>
                      <w:b/>
                    </w:rPr>
                  </w:pPr>
                  <w:r>
                    <w:rPr>
                      <w:rFonts w:hint="eastAsia"/>
                      <w:b/>
                    </w:rPr>
                    <w:t>采样地点</w:t>
                  </w:r>
                </w:p>
              </w:tc>
              <w:tc>
                <w:tcPr>
                  <w:tcW w:w="1139" w:type="dxa"/>
                  <w:vMerge w:val="restart"/>
                  <w:tcBorders>
                    <w:top w:val="single" w:color="auto" w:sz="12" w:space="0"/>
                    <w:left w:val="single" w:color="auto" w:sz="2" w:space="0"/>
                    <w:bottom w:val="single" w:color="auto" w:sz="2" w:space="0"/>
                    <w:right w:val="single" w:color="auto" w:sz="2" w:space="0"/>
                  </w:tcBorders>
                  <w:noWrap w:val="0"/>
                  <w:vAlign w:val="center"/>
                </w:tcPr>
                <w:p>
                  <w:pPr>
                    <w:jc w:val="center"/>
                    <w:rPr>
                      <w:b/>
                    </w:rPr>
                  </w:pPr>
                  <w:r>
                    <w:rPr>
                      <w:rFonts w:hint="eastAsia"/>
                      <w:b/>
                    </w:rPr>
                    <w:t>检测项目</w:t>
                  </w:r>
                </w:p>
              </w:tc>
              <w:tc>
                <w:tcPr>
                  <w:tcW w:w="4950" w:type="dxa"/>
                  <w:gridSpan w:val="6"/>
                  <w:tcBorders>
                    <w:top w:val="single" w:color="auto" w:sz="12" w:space="0"/>
                    <w:left w:val="single" w:color="auto" w:sz="2" w:space="0"/>
                    <w:bottom w:val="single" w:color="auto" w:sz="2" w:space="0"/>
                    <w:right w:val="single" w:color="auto" w:sz="2" w:space="0"/>
                  </w:tcBorders>
                  <w:noWrap w:val="0"/>
                  <w:vAlign w:val="center"/>
                </w:tcPr>
                <w:p>
                  <w:pPr>
                    <w:jc w:val="center"/>
                    <w:rPr>
                      <w:b/>
                    </w:rPr>
                  </w:pPr>
                  <w:r>
                    <w:rPr>
                      <w:rFonts w:hint="eastAsia"/>
                      <w:b/>
                    </w:rPr>
                    <w:t>检测结果（mg/L）</w:t>
                  </w:r>
                </w:p>
              </w:tc>
              <w:tc>
                <w:tcPr>
                  <w:tcW w:w="741" w:type="dxa"/>
                  <w:vMerge w:val="restart"/>
                  <w:tcBorders>
                    <w:top w:val="single" w:color="auto" w:sz="12" w:space="0"/>
                    <w:left w:val="single" w:color="auto" w:sz="2" w:space="0"/>
                    <w:bottom w:val="single" w:color="auto" w:sz="2" w:space="0"/>
                    <w:right w:val="single" w:color="auto" w:sz="2" w:space="0"/>
                  </w:tcBorders>
                  <w:noWrap w:val="0"/>
                  <w:vAlign w:val="center"/>
                </w:tcPr>
                <w:p>
                  <w:pPr>
                    <w:jc w:val="center"/>
                    <w:rPr>
                      <w:b/>
                    </w:rPr>
                  </w:pPr>
                  <w:r>
                    <w:rPr>
                      <w:rFonts w:hint="eastAsia"/>
                      <w:b/>
                    </w:rPr>
                    <w:t>执行标准</w:t>
                  </w:r>
                </w:p>
              </w:tc>
              <w:tc>
                <w:tcPr>
                  <w:tcW w:w="675" w:type="dxa"/>
                  <w:vMerge w:val="restart"/>
                  <w:tcBorders>
                    <w:top w:val="single" w:color="auto" w:sz="12" w:space="0"/>
                    <w:left w:val="single" w:color="auto" w:sz="2" w:space="0"/>
                    <w:bottom w:val="single" w:color="auto" w:sz="2" w:space="0"/>
                    <w:right w:val="nil"/>
                  </w:tcBorders>
                  <w:noWrap w:val="0"/>
                  <w:vAlign w:val="center"/>
                </w:tcPr>
                <w:p>
                  <w:pPr>
                    <w:rPr>
                      <w:b/>
                    </w:rPr>
                  </w:pPr>
                  <w:r>
                    <w:rPr>
                      <w:rFonts w:hint="eastAsia"/>
                      <w:b/>
                    </w:rPr>
                    <w:t>是否达标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79" w:type="dxa"/>
                  <w:vMerge w:val="continue"/>
                  <w:tcBorders>
                    <w:top w:val="single" w:color="auto" w:sz="2" w:space="0"/>
                    <w:left w:val="nil"/>
                    <w:bottom w:val="single" w:color="auto" w:sz="2" w:space="0"/>
                    <w:right w:val="single" w:color="auto" w:sz="2" w:space="0"/>
                  </w:tcBorders>
                  <w:noWrap w:val="0"/>
                  <w:vAlign w:val="center"/>
                </w:tcPr>
                <w:p>
                  <w:pPr>
                    <w:jc w:val="center"/>
                    <w:rPr>
                      <w:b/>
                    </w:rPr>
                  </w:pPr>
                </w:p>
              </w:tc>
              <w:tc>
                <w:tcPr>
                  <w:tcW w:w="1139"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b/>
                    </w:rPr>
                  </w:pPr>
                </w:p>
              </w:tc>
              <w:tc>
                <w:tcPr>
                  <w:tcW w:w="1561"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b/>
                      <w:sz w:val="18"/>
                    </w:rPr>
                  </w:pPr>
                  <w:r>
                    <w:rPr>
                      <w:rFonts w:hint="eastAsia"/>
                      <w:b/>
                      <w:sz w:val="18"/>
                    </w:rPr>
                    <w:t>采样日期</w:t>
                  </w:r>
                </w:p>
                <w:p>
                  <w:pPr>
                    <w:jc w:val="center"/>
                    <w:rPr>
                      <w:b/>
                      <w:sz w:val="18"/>
                    </w:rPr>
                  </w:pPr>
                  <w:r>
                    <w:rPr>
                      <w:b/>
                      <w:sz w:val="18"/>
                    </w:rPr>
                    <w:t>2021</w:t>
                  </w:r>
                  <w:r>
                    <w:rPr>
                      <w:rFonts w:hint="eastAsia"/>
                      <w:b/>
                      <w:sz w:val="18"/>
                    </w:rPr>
                    <w:t>年</w:t>
                  </w:r>
                  <w:r>
                    <w:rPr>
                      <w:b/>
                      <w:sz w:val="18"/>
                    </w:rPr>
                    <w:t>7</w:t>
                  </w:r>
                  <w:r>
                    <w:rPr>
                      <w:rFonts w:hint="eastAsia"/>
                      <w:b/>
                      <w:sz w:val="18"/>
                    </w:rPr>
                    <w:t>月</w:t>
                  </w:r>
                  <w:r>
                    <w:rPr>
                      <w:b/>
                      <w:sz w:val="18"/>
                    </w:rPr>
                    <w:t>8</w:t>
                  </w:r>
                  <w:r>
                    <w:rPr>
                      <w:rFonts w:hint="eastAsia"/>
                      <w:b/>
                      <w:sz w:val="18"/>
                    </w:rPr>
                    <w:t>日</w:t>
                  </w:r>
                </w:p>
              </w:tc>
              <w:tc>
                <w:tcPr>
                  <w:tcW w:w="1602"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b/>
                      <w:sz w:val="18"/>
                    </w:rPr>
                  </w:pPr>
                  <w:r>
                    <w:rPr>
                      <w:rFonts w:hint="eastAsia"/>
                      <w:b/>
                      <w:sz w:val="18"/>
                    </w:rPr>
                    <w:t>采样日期</w:t>
                  </w:r>
                </w:p>
                <w:p>
                  <w:pPr>
                    <w:jc w:val="center"/>
                    <w:rPr>
                      <w:b/>
                      <w:sz w:val="18"/>
                    </w:rPr>
                  </w:pPr>
                  <w:r>
                    <w:rPr>
                      <w:b/>
                      <w:sz w:val="18"/>
                    </w:rPr>
                    <w:t>2021</w:t>
                  </w:r>
                  <w:r>
                    <w:rPr>
                      <w:rFonts w:hint="eastAsia"/>
                      <w:b/>
                      <w:sz w:val="18"/>
                    </w:rPr>
                    <w:t>年</w:t>
                  </w:r>
                  <w:r>
                    <w:rPr>
                      <w:b/>
                      <w:sz w:val="18"/>
                    </w:rPr>
                    <w:t>7</w:t>
                  </w:r>
                  <w:r>
                    <w:rPr>
                      <w:rFonts w:hint="eastAsia"/>
                      <w:b/>
                      <w:sz w:val="18"/>
                    </w:rPr>
                    <w:t>月</w:t>
                  </w:r>
                  <w:r>
                    <w:rPr>
                      <w:b/>
                      <w:sz w:val="18"/>
                    </w:rPr>
                    <w:t>9</w:t>
                  </w:r>
                  <w:r>
                    <w:rPr>
                      <w:rFonts w:hint="eastAsia"/>
                      <w:b/>
                      <w:sz w:val="18"/>
                    </w:rPr>
                    <w:t>日</w:t>
                  </w:r>
                </w:p>
              </w:tc>
              <w:tc>
                <w:tcPr>
                  <w:tcW w:w="1787"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b/>
                      <w:sz w:val="18"/>
                    </w:rPr>
                  </w:pPr>
                  <w:r>
                    <w:rPr>
                      <w:rFonts w:hint="eastAsia"/>
                      <w:b/>
                      <w:sz w:val="18"/>
                    </w:rPr>
                    <w:t>采样日期</w:t>
                  </w:r>
                </w:p>
                <w:p>
                  <w:pPr>
                    <w:jc w:val="center"/>
                    <w:rPr>
                      <w:b/>
                      <w:sz w:val="18"/>
                    </w:rPr>
                  </w:pPr>
                  <w:r>
                    <w:rPr>
                      <w:b/>
                      <w:sz w:val="18"/>
                    </w:rPr>
                    <w:t>2021</w:t>
                  </w:r>
                  <w:r>
                    <w:rPr>
                      <w:rFonts w:hint="eastAsia"/>
                      <w:b/>
                      <w:sz w:val="18"/>
                    </w:rPr>
                    <w:t>年</w:t>
                  </w:r>
                  <w:r>
                    <w:rPr>
                      <w:b/>
                      <w:sz w:val="18"/>
                    </w:rPr>
                    <w:t>7</w:t>
                  </w:r>
                  <w:r>
                    <w:rPr>
                      <w:rFonts w:hint="eastAsia"/>
                      <w:b/>
                      <w:sz w:val="18"/>
                    </w:rPr>
                    <w:t>月</w:t>
                  </w:r>
                  <w:r>
                    <w:rPr>
                      <w:b/>
                      <w:sz w:val="18"/>
                    </w:rPr>
                    <w:t>10</w:t>
                  </w:r>
                  <w:r>
                    <w:rPr>
                      <w:rFonts w:hint="eastAsia"/>
                      <w:b/>
                      <w:sz w:val="18"/>
                    </w:rPr>
                    <w:t>日</w:t>
                  </w:r>
                </w:p>
              </w:tc>
              <w:tc>
                <w:tcPr>
                  <w:tcW w:w="741"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b/>
                    </w:rPr>
                  </w:pPr>
                </w:p>
              </w:tc>
              <w:tc>
                <w:tcPr>
                  <w:tcW w:w="675" w:type="dxa"/>
                  <w:vMerge w:val="continue"/>
                  <w:tcBorders>
                    <w:top w:val="single" w:color="auto" w:sz="2" w:space="0"/>
                    <w:left w:val="single" w:color="auto" w:sz="2" w:space="0"/>
                    <w:bottom w:val="single" w:color="auto" w:sz="2" w:space="0"/>
                    <w:right w:val="nil"/>
                  </w:tcBorders>
                  <w:noWrap w:val="0"/>
                  <w:vAlign w:val="center"/>
                </w:tcPr>
                <w:p>
                  <w:pPr>
                    <w:jc w:val="center"/>
                    <w:rPr>
                      <w:b/>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79" w:type="dxa"/>
                  <w:vMerge w:val="continue"/>
                  <w:tcBorders>
                    <w:top w:val="single" w:color="auto" w:sz="2" w:space="0"/>
                    <w:left w:val="nil"/>
                    <w:bottom w:val="single" w:color="auto" w:sz="2" w:space="0"/>
                    <w:right w:val="single" w:color="auto" w:sz="2" w:space="0"/>
                  </w:tcBorders>
                  <w:noWrap w:val="0"/>
                  <w:vAlign w:val="center"/>
                </w:tcPr>
                <w:p>
                  <w:pPr>
                    <w:jc w:val="center"/>
                    <w:rPr>
                      <w:b/>
                    </w:rPr>
                  </w:pPr>
                </w:p>
              </w:tc>
              <w:tc>
                <w:tcPr>
                  <w:tcW w:w="1139"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b/>
                    </w:rPr>
                  </w:pPr>
                </w:p>
              </w:tc>
              <w:tc>
                <w:tcPr>
                  <w:tcW w:w="761" w:type="dxa"/>
                  <w:tcBorders>
                    <w:top w:val="single" w:color="auto" w:sz="2" w:space="0"/>
                    <w:left w:val="single" w:color="auto" w:sz="2" w:space="0"/>
                    <w:bottom w:val="single" w:color="auto" w:sz="2" w:space="0"/>
                    <w:right w:val="single" w:color="auto" w:sz="2" w:space="0"/>
                  </w:tcBorders>
                  <w:noWrap w:val="0"/>
                  <w:vAlign w:val="center"/>
                </w:tcPr>
                <w:p>
                  <w:pPr>
                    <w:jc w:val="center"/>
                    <w:rPr>
                      <w:b/>
                      <w:sz w:val="18"/>
                    </w:rPr>
                  </w:pPr>
                  <w:r>
                    <w:rPr>
                      <w:rFonts w:hint="eastAsia"/>
                      <w:b/>
                      <w:sz w:val="18"/>
                    </w:rPr>
                    <w:t>第一次</w:t>
                  </w:r>
                </w:p>
              </w:tc>
              <w:tc>
                <w:tcPr>
                  <w:tcW w:w="800" w:type="dxa"/>
                  <w:tcBorders>
                    <w:top w:val="single" w:color="auto" w:sz="2" w:space="0"/>
                    <w:left w:val="single" w:color="auto" w:sz="2" w:space="0"/>
                    <w:bottom w:val="single" w:color="auto" w:sz="2" w:space="0"/>
                    <w:right w:val="single" w:color="auto" w:sz="2" w:space="0"/>
                  </w:tcBorders>
                  <w:noWrap w:val="0"/>
                  <w:vAlign w:val="center"/>
                </w:tcPr>
                <w:p>
                  <w:pPr>
                    <w:jc w:val="center"/>
                    <w:rPr>
                      <w:b/>
                      <w:sz w:val="18"/>
                    </w:rPr>
                  </w:pPr>
                  <w:r>
                    <w:rPr>
                      <w:rFonts w:hint="eastAsia"/>
                      <w:b/>
                      <w:sz w:val="18"/>
                    </w:rPr>
                    <w:t>第二次</w:t>
                  </w:r>
                </w:p>
              </w:tc>
              <w:tc>
                <w:tcPr>
                  <w:tcW w:w="779" w:type="dxa"/>
                  <w:tcBorders>
                    <w:top w:val="single" w:color="auto" w:sz="2" w:space="0"/>
                    <w:left w:val="single" w:color="auto" w:sz="2" w:space="0"/>
                    <w:bottom w:val="single" w:color="auto" w:sz="2" w:space="0"/>
                    <w:right w:val="single" w:color="auto" w:sz="2" w:space="0"/>
                  </w:tcBorders>
                  <w:noWrap w:val="0"/>
                  <w:vAlign w:val="center"/>
                </w:tcPr>
                <w:p>
                  <w:pPr>
                    <w:jc w:val="center"/>
                    <w:rPr>
                      <w:b/>
                      <w:sz w:val="18"/>
                    </w:rPr>
                  </w:pPr>
                  <w:r>
                    <w:rPr>
                      <w:rFonts w:hint="eastAsia"/>
                      <w:b/>
                      <w:sz w:val="18"/>
                    </w:rPr>
                    <w:t>第一次</w:t>
                  </w:r>
                </w:p>
              </w:tc>
              <w:tc>
                <w:tcPr>
                  <w:tcW w:w="823" w:type="dxa"/>
                  <w:tcBorders>
                    <w:top w:val="single" w:color="auto" w:sz="2" w:space="0"/>
                    <w:left w:val="single" w:color="auto" w:sz="2" w:space="0"/>
                    <w:bottom w:val="single" w:color="auto" w:sz="2" w:space="0"/>
                    <w:right w:val="single" w:color="auto" w:sz="2" w:space="0"/>
                  </w:tcBorders>
                  <w:noWrap w:val="0"/>
                  <w:vAlign w:val="center"/>
                </w:tcPr>
                <w:p>
                  <w:pPr>
                    <w:jc w:val="center"/>
                    <w:rPr>
                      <w:b/>
                      <w:sz w:val="18"/>
                    </w:rPr>
                  </w:pPr>
                  <w:r>
                    <w:rPr>
                      <w:rFonts w:hint="eastAsia"/>
                      <w:b/>
                      <w:sz w:val="18"/>
                    </w:rPr>
                    <w:t>第二次</w:t>
                  </w:r>
                </w:p>
              </w:tc>
              <w:tc>
                <w:tcPr>
                  <w:tcW w:w="902" w:type="dxa"/>
                  <w:tcBorders>
                    <w:top w:val="single" w:color="auto" w:sz="2" w:space="0"/>
                    <w:left w:val="single" w:color="auto" w:sz="2" w:space="0"/>
                    <w:bottom w:val="single" w:color="auto" w:sz="2" w:space="0"/>
                    <w:right w:val="single" w:color="auto" w:sz="2" w:space="0"/>
                  </w:tcBorders>
                  <w:noWrap w:val="0"/>
                  <w:vAlign w:val="center"/>
                </w:tcPr>
                <w:p>
                  <w:pPr>
                    <w:jc w:val="center"/>
                    <w:rPr>
                      <w:b/>
                      <w:sz w:val="18"/>
                    </w:rPr>
                  </w:pPr>
                  <w:r>
                    <w:rPr>
                      <w:rFonts w:hint="eastAsia"/>
                      <w:b/>
                      <w:sz w:val="18"/>
                    </w:rPr>
                    <w:t>第一次</w:t>
                  </w:r>
                </w:p>
              </w:tc>
              <w:tc>
                <w:tcPr>
                  <w:tcW w:w="885" w:type="dxa"/>
                  <w:tcBorders>
                    <w:top w:val="single" w:color="auto" w:sz="2" w:space="0"/>
                    <w:left w:val="single" w:color="auto" w:sz="2" w:space="0"/>
                    <w:bottom w:val="single" w:color="auto" w:sz="2" w:space="0"/>
                    <w:right w:val="single" w:color="auto" w:sz="2" w:space="0"/>
                  </w:tcBorders>
                  <w:noWrap w:val="0"/>
                  <w:vAlign w:val="center"/>
                </w:tcPr>
                <w:p>
                  <w:pPr>
                    <w:jc w:val="center"/>
                    <w:rPr>
                      <w:b/>
                      <w:sz w:val="18"/>
                    </w:rPr>
                  </w:pPr>
                  <w:r>
                    <w:rPr>
                      <w:rFonts w:hint="eastAsia"/>
                      <w:b/>
                      <w:sz w:val="18"/>
                    </w:rPr>
                    <w:t>第二次</w:t>
                  </w:r>
                </w:p>
              </w:tc>
              <w:tc>
                <w:tcPr>
                  <w:tcW w:w="741"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b/>
                    </w:rPr>
                  </w:pPr>
                </w:p>
              </w:tc>
              <w:tc>
                <w:tcPr>
                  <w:tcW w:w="675" w:type="dxa"/>
                  <w:vMerge w:val="continue"/>
                  <w:tcBorders>
                    <w:top w:val="single" w:color="auto" w:sz="2" w:space="0"/>
                    <w:left w:val="single" w:color="auto" w:sz="2" w:space="0"/>
                    <w:bottom w:val="single" w:color="auto" w:sz="2" w:space="0"/>
                    <w:right w:val="nil"/>
                  </w:tcBorders>
                  <w:noWrap w:val="0"/>
                  <w:vAlign w:val="center"/>
                </w:tcPr>
                <w:p>
                  <w:pPr>
                    <w:jc w:val="center"/>
                    <w:rPr>
                      <w:b/>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79" w:type="dxa"/>
                  <w:vMerge w:val="restart"/>
                  <w:tcBorders>
                    <w:top w:val="single" w:color="auto" w:sz="2" w:space="0"/>
                    <w:left w:val="nil"/>
                    <w:bottom w:val="single" w:color="auto" w:sz="2" w:space="0"/>
                    <w:right w:val="single" w:color="auto" w:sz="2" w:space="0"/>
                  </w:tcBorders>
                  <w:noWrap w:val="0"/>
                  <w:vAlign w:val="center"/>
                </w:tcPr>
                <w:p>
                  <w:pPr>
                    <w:jc w:val="center"/>
                  </w:pPr>
                  <w:r>
                    <w:rPr>
                      <w:rFonts w:hint="eastAsia"/>
                    </w:rPr>
                    <w:t>尧塘河W1金坛区第二污水处理厂排口上游500m</w:t>
                  </w:r>
                </w:p>
              </w:tc>
              <w:tc>
                <w:tcPr>
                  <w:tcW w:w="1139" w:type="dxa"/>
                  <w:tcBorders>
                    <w:top w:val="single" w:color="auto" w:sz="2" w:space="0"/>
                    <w:left w:val="single" w:color="auto" w:sz="2" w:space="0"/>
                    <w:bottom w:val="single" w:color="auto" w:sz="2" w:space="0"/>
                    <w:right w:val="single" w:color="auto" w:sz="2" w:space="0"/>
                  </w:tcBorders>
                  <w:noWrap w:val="0"/>
                  <w:vAlign w:val="center"/>
                </w:tcPr>
                <w:p>
                  <w:pPr>
                    <w:jc w:val="center"/>
                  </w:pPr>
                  <w:r>
                    <w:rPr>
                      <w:rFonts w:hint="eastAsia"/>
                    </w:rPr>
                    <w:t>样品状态</w:t>
                  </w:r>
                </w:p>
              </w:tc>
              <w:tc>
                <w:tcPr>
                  <w:tcW w:w="4950" w:type="dxa"/>
                  <w:gridSpan w:val="6"/>
                  <w:tcBorders>
                    <w:top w:val="single" w:color="auto" w:sz="2" w:space="0"/>
                    <w:left w:val="single" w:color="auto" w:sz="2" w:space="0"/>
                    <w:bottom w:val="single" w:color="auto" w:sz="2" w:space="0"/>
                    <w:right w:val="single" w:color="auto" w:sz="2" w:space="0"/>
                  </w:tcBorders>
                  <w:noWrap w:val="0"/>
                  <w:vAlign w:val="center"/>
                </w:tcPr>
                <w:p>
                  <w:pPr>
                    <w:jc w:val="center"/>
                    <w:rPr>
                      <w:sz w:val="18"/>
                    </w:rPr>
                  </w:pPr>
                  <w:r>
                    <w:rPr>
                      <w:rFonts w:hint="eastAsia"/>
                      <w:sz w:val="18"/>
                    </w:rPr>
                    <w:t>无色、无味、无浮油</w:t>
                  </w:r>
                </w:p>
              </w:tc>
              <w:tc>
                <w:tcPr>
                  <w:tcW w:w="741" w:type="dxa"/>
                  <w:tcBorders>
                    <w:top w:val="single" w:color="auto" w:sz="2" w:space="0"/>
                    <w:left w:val="single" w:color="auto" w:sz="2" w:space="0"/>
                    <w:bottom w:val="single" w:color="auto" w:sz="2" w:space="0"/>
                    <w:right w:val="single" w:color="auto" w:sz="2" w:space="0"/>
                  </w:tcBorders>
                  <w:noWrap w:val="0"/>
                  <w:vAlign w:val="center"/>
                </w:tcPr>
                <w:p>
                  <w:pPr>
                    <w:jc w:val="center"/>
                  </w:pPr>
                  <w:r>
                    <w:t>/</w:t>
                  </w:r>
                </w:p>
              </w:tc>
              <w:tc>
                <w:tcPr>
                  <w:tcW w:w="675" w:type="dxa"/>
                  <w:tcBorders>
                    <w:top w:val="single" w:color="auto" w:sz="2" w:space="0"/>
                    <w:left w:val="single" w:color="auto" w:sz="2" w:space="0"/>
                    <w:bottom w:val="single" w:color="auto" w:sz="2" w:space="0"/>
                    <w:right w:val="nil"/>
                  </w:tcBorders>
                  <w:noWrap w:val="0"/>
                  <w:vAlign w:val="center"/>
                </w:tcPr>
                <w:p>
                  <w:pPr>
                    <w:jc w:val="cente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79" w:type="dxa"/>
                  <w:vMerge w:val="continue"/>
                  <w:tcBorders>
                    <w:top w:val="single" w:color="auto" w:sz="2" w:space="0"/>
                    <w:left w:val="nil"/>
                    <w:bottom w:val="single" w:color="auto" w:sz="2" w:space="0"/>
                    <w:right w:val="single" w:color="auto" w:sz="2" w:space="0"/>
                  </w:tcBorders>
                  <w:noWrap w:val="0"/>
                  <w:vAlign w:val="center"/>
                </w:tcPr>
                <w:p>
                  <w:pPr>
                    <w:jc w:val="center"/>
                  </w:pPr>
                </w:p>
              </w:tc>
              <w:tc>
                <w:tcPr>
                  <w:tcW w:w="1139" w:type="dxa"/>
                  <w:tcBorders>
                    <w:top w:val="single" w:color="auto" w:sz="2" w:space="0"/>
                    <w:left w:val="single" w:color="auto" w:sz="2" w:space="0"/>
                    <w:bottom w:val="single" w:color="auto" w:sz="2" w:space="0"/>
                    <w:right w:val="single" w:color="auto" w:sz="2" w:space="0"/>
                  </w:tcBorders>
                  <w:noWrap w:val="0"/>
                  <w:vAlign w:val="center"/>
                </w:tcPr>
                <w:p>
                  <w:pPr>
                    <w:jc w:val="center"/>
                  </w:pPr>
                  <w:r>
                    <w:t>pH</w:t>
                  </w:r>
                  <w:r>
                    <w:rPr>
                      <w:rFonts w:hint="eastAsia"/>
                    </w:rPr>
                    <w:t>值（无量纲）</w:t>
                  </w:r>
                </w:p>
              </w:tc>
              <w:tc>
                <w:tcPr>
                  <w:tcW w:w="761" w:type="dxa"/>
                  <w:tcBorders>
                    <w:top w:val="single" w:color="auto" w:sz="2" w:space="0"/>
                    <w:left w:val="single" w:color="auto" w:sz="2" w:space="0"/>
                    <w:bottom w:val="single" w:color="auto" w:sz="2" w:space="0"/>
                    <w:right w:val="single" w:color="auto" w:sz="2" w:space="0"/>
                  </w:tcBorders>
                  <w:noWrap w:val="0"/>
                  <w:vAlign w:val="center"/>
                </w:tcPr>
                <w:p>
                  <w:pPr>
                    <w:jc w:val="center"/>
                  </w:pPr>
                  <w:r>
                    <w:t>7.63</w:t>
                  </w:r>
                </w:p>
              </w:tc>
              <w:tc>
                <w:tcPr>
                  <w:tcW w:w="800" w:type="dxa"/>
                  <w:tcBorders>
                    <w:top w:val="single" w:color="auto" w:sz="2" w:space="0"/>
                    <w:left w:val="single" w:color="auto" w:sz="2" w:space="0"/>
                    <w:bottom w:val="single" w:color="auto" w:sz="2" w:space="0"/>
                    <w:right w:val="single" w:color="auto" w:sz="2" w:space="0"/>
                  </w:tcBorders>
                  <w:noWrap w:val="0"/>
                  <w:vAlign w:val="center"/>
                </w:tcPr>
                <w:p>
                  <w:pPr>
                    <w:jc w:val="center"/>
                  </w:pPr>
                  <w:r>
                    <w:t>7.71</w:t>
                  </w:r>
                </w:p>
              </w:tc>
              <w:tc>
                <w:tcPr>
                  <w:tcW w:w="779" w:type="dxa"/>
                  <w:tcBorders>
                    <w:top w:val="single" w:color="auto" w:sz="2" w:space="0"/>
                    <w:left w:val="single" w:color="auto" w:sz="2" w:space="0"/>
                    <w:bottom w:val="single" w:color="auto" w:sz="2" w:space="0"/>
                    <w:right w:val="single" w:color="auto" w:sz="2" w:space="0"/>
                  </w:tcBorders>
                  <w:noWrap w:val="0"/>
                  <w:vAlign w:val="center"/>
                </w:tcPr>
                <w:p>
                  <w:pPr>
                    <w:jc w:val="center"/>
                  </w:pPr>
                  <w:r>
                    <w:t>7.63</w:t>
                  </w:r>
                </w:p>
              </w:tc>
              <w:tc>
                <w:tcPr>
                  <w:tcW w:w="823" w:type="dxa"/>
                  <w:tcBorders>
                    <w:top w:val="single" w:color="auto" w:sz="2" w:space="0"/>
                    <w:left w:val="single" w:color="auto" w:sz="2" w:space="0"/>
                    <w:bottom w:val="single" w:color="auto" w:sz="2" w:space="0"/>
                    <w:right w:val="single" w:color="auto" w:sz="2" w:space="0"/>
                  </w:tcBorders>
                  <w:noWrap w:val="0"/>
                  <w:vAlign w:val="center"/>
                </w:tcPr>
                <w:p>
                  <w:pPr>
                    <w:jc w:val="center"/>
                  </w:pPr>
                  <w:r>
                    <w:t>6.73</w:t>
                  </w:r>
                </w:p>
              </w:tc>
              <w:tc>
                <w:tcPr>
                  <w:tcW w:w="902" w:type="dxa"/>
                  <w:tcBorders>
                    <w:top w:val="single" w:color="auto" w:sz="2" w:space="0"/>
                    <w:left w:val="single" w:color="auto" w:sz="2" w:space="0"/>
                    <w:bottom w:val="single" w:color="auto" w:sz="2" w:space="0"/>
                    <w:right w:val="single" w:color="auto" w:sz="2" w:space="0"/>
                  </w:tcBorders>
                  <w:noWrap w:val="0"/>
                  <w:vAlign w:val="center"/>
                </w:tcPr>
                <w:p>
                  <w:pPr>
                    <w:jc w:val="center"/>
                  </w:pPr>
                  <w:r>
                    <w:t>7.64</w:t>
                  </w:r>
                </w:p>
              </w:tc>
              <w:tc>
                <w:tcPr>
                  <w:tcW w:w="885" w:type="dxa"/>
                  <w:tcBorders>
                    <w:top w:val="single" w:color="auto" w:sz="2" w:space="0"/>
                    <w:left w:val="single" w:color="auto" w:sz="2" w:space="0"/>
                    <w:bottom w:val="single" w:color="auto" w:sz="2" w:space="0"/>
                    <w:right w:val="single" w:color="auto" w:sz="2" w:space="0"/>
                  </w:tcBorders>
                  <w:noWrap w:val="0"/>
                  <w:vAlign w:val="center"/>
                </w:tcPr>
                <w:p>
                  <w:pPr>
                    <w:jc w:val="center"/>
                  </w:pPr>
                  <w:r>
                    <w:t>7.73</w:t>
                  </w:r>
                </w:p>
              </w:tc>
              <w:tc>
                <w:tcPr>
                  <w:tcW w:w="741" w:type="dxa"/>
                  <w:tcBorders>
                    <w:top w:val="single" w:color="auto" w:sz="2" w:space="0"/>
                    <w:left w:val="single" w:color="auto" w:sz="2" w:space="0"/>
                    <w:bottom w:val="single" w:color="auto" w:sz="2" w:space="0"/>
                    <w:right w:val="single" w:color="auto" w:sz="2" w:space="0"/>
                  </w:tcBorders>
                  <w:noWrap w:val="0"/>
                  <w:vAlign w:val="center"/>
                </w:tcPr>
                <w:p>
                  <w:pPr>
                    <w:jc w:val="center"/>
                  </w:pPr>
                  <w:r>
                    <w:t>6~9</w:t>
                  </w:r>
                </w:p>
              </w:tc>
              <w:tc>
                <w:tcPr>
                  <w:tcW w:w="675" w:type="dxa"/>
                  <w:tcBorders>
                    <w:top w:val="single" w:color="auto" w:sz="2" w:space="0"/>
                    <w:left w:val="single" w:color="auto" w:sz="2" w:space="0"/>
                    <w:bottom w:val="single" w:color="auto" w:sz="2" w:space="0"/>
                    <w:right w:val="nil"/>
                  </w:tcBorders>
                  <w:noWrap w:val="0"/>
                  <w:vAlign w:val="center"/>
                </w:tcPr>
                <w:p>
                  <w:pPr>
                    <w:jc w:val="cente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79" w:type="dxa"/>
                  <w:vMerge w:val="continue"/>
                  <w:tcBorders>
                    <w:top w:val="single" w:color="auto" w:sz="2" w:space="0"/>
                    <w:left w:val="nil"/>
                    <w:bottom w:val="single" w:color="auto" w:sz="2" w:space="0"/>
                    <w:right w:val="single" w:color="auto" w:sz="2" w:space="0"/>
                  </w:tcBorders>
                  <w:noWrap w:val="0"/>
                  <w:vAlign w:val="center"/>
                </w:tcPr>
                <w:p>
                  <w:pPr>
                    <w:jc w:val="center"/>
                  </w:pPr>
                </w:p>
              </w:tc>
              <w:tc>
                <w:tcPr>
                  <w:tcW w:w="1139" w:type="dxa"/>
                  <w:tcBorders>
                    <w:top w:val="single" w:color="auto" w:sz="2" w:space="0"/>
                    <w:left w:val="single" w:color="auto" w:sz="2" w:space="0"/>
                    <w:bottom w:val="single" w:color="auto" w:sz="2" w:space="0"/>
                    <w:right w:val="single" w:color="auto" w:sz="2" w:space="0"/>
                  </w:tcBorders>
                  <w:noWrap w:val="0"/>
                  <w:vAlign w:val="center"/>
                </w:tcPr>
                <w:p>
                  <w:pPr>
                    <w:jc w:val="center"/>
                  </w:pPr>
                  <w:r>
                    <w:rPr>
                      <w:rFonts w:hint="eastAsia"/>
                    </w:rPr>
                    <w:t>化学需氧量</w:t>
                  </w:r>
                </w:p>
              </w:tc>
              <w:tc>
                <w:tcPr>
                  <w:tcW w:w="761" w:type="dxa"/>
                  <w:tcBorders>
                    <w:top w:val="single" w:color="auto" w:sz="2" w:space="0"/>
                    <w:left w:val="single" w:color="auto" w:sz="2" w:space="0"/>
                    <w:bottom w:val="single" w:color="auto" w:sz="2" w:space="0"/>
                    <w:right w:val="single" w:color="auto" w:sz="2" w:space="0"/>
                  </w:tcBorders>
                  <w:noWrap w:val="0"/>
                  <w:vAlign w:val="center"/>
                </w:tcPr>
                <w:p>
                  <w:pPr>
                    <w:jc w:val="center"/>
                  </w:pPr>
                  <w:r>
                    <w:t>18</w:t>
                  </w:r>
                </w:p>
              </w:tc>
              <w:tc>
                <w:tcPr>
                  <w:tcW w:w="800" w:type="dxa"/>
                  <w:tcBorders>
                    <w:top w:val="single" w:color="auto" w:sz="2" w:space="0"/>
                    <w:left w:val="single" w:color="auto" w:sz="2" w:space="0"/>
                    <w:bottom w:val="single" w:color="auto" w:sz="2" w:space="0"/>
                    <w:right w:val="single" w:color="auto" w:sz="2" w:space="0"/>
                  </w:tcBorders>
                  <w:noWrap w:val="0"/>
                  <w:vAlign w:val="center"/>
                </w:tcPr>
                <w:p>
                  <w:pPr>
                    <w:jc w:val="center"/>
                  </w:pPr>
                  <w:r>
                    <w:t>17</w:t>
                  </w:r>
                </w:p>
              </w:tc>
              <w:tc>
                <w:tcPr>
                  <w:tcW w:w="779" w:type="dxa"/>
                  <w:tcBorders>
                    <w:top w:val="single" w:color="auto" w:sz="2" w:space="0"/>
                    <w:left w:val="single" w:color="auto" w:sz="2" w:space="0"/>
                    <w:bottom w:val="single" w:color="auto" w:sz="2" w:space="0"/>
                    <w:right w:val="single" w:color="auto" w:sz="2" w:space="0"/>
                  </w:tcBorders>
                  <w:noWrap w:val="0"/>
                  <w:vAlign w:val="center"/>
                </w:tcPr>
                <w:p>
                  <w:pPr>
                    <w:jc w:val="center"/>
                  </w:pPr>
                  <w:r>
                    <w:t>19</w:t>
                  </w:r>
                </w:p>
              </w:tc>
              <w:tc>
                <w:tcPr>
                  <w:tcW w:w="823" w:type="dxa"/>
                  <w:tcBorders>
                    <w:top w:val="single" w:color="auto" w:sz="2" w:space="0"/>
                    <w:left w:val="single" w:color="auto" w:sz="2" w:space="0"/>
                    <w:bottom w:val="single" w:color="auto" w:sz="2" w:space="0"/>
                    <w:right w:val="single" w:color="auto" w:sz="2" w:space="0"/>
                  </w:tcBorders>
                  <w:noWrap w:val="0"/>
                  <w:vAlign w:val="center"/>
                </w:tcPr>
                <w:p>
                  <w:pPr>
                    <w:jc w:val="center"/>
                  </w:pPr>
                  <w:r>
                    <w:t>18</w:t>
                  </w:r>
                </w:p>
              </w:tc>
              <w:tc>
                <w:tcPr>
                  <w:tcW w:w="902" w:type="dxa"/>
                  <w:tcBorders>
                    <w:top w:val="single" w:color="auto" w:sz="2" w:space="0"/>
                    <w:left w:val="single" w:color="auto" w:sz="2" w:space="0"/>
                    <w:bottom w:val="single" w:color="auto" w:sz="2" w:space="0"/>
                    <w:right w:val="single" w:color="auto" w:sz="2" w:space="0"/>
                  </w:tcBorders>
                  <w:noWrap w:val="0"/>
                  <w:vAlign w:val="center"/>
                </w:tcPr>
                <w:p>
                  <w:pPr>
                    <w:jc w:val="center"/>
                  </w:pPr>
                  <w:r>
                    <w:t>16</w:t>
                  </w:r>
                </w:p>
              </w:tc>
              <w:tc>
                <w:tcPr>
                  <w:tcW w:w="885" w:type="dxa"/>
                  <w:tcBorders>
                    <w:top w:val="single" w:color="auto" w:sz="2" w:space="0"/>
                    <w:left w:val="single" w:color="auto" w:sz="2" w:space="0"/>
                    <w:bottom w:val="single" w:color="auto" w:sz="2" w:space="0"/>
                    <w:right w:val="single" w:color="auto" w:sz="2" w:space="0"/>
                  </w:tcBorders>
                  <w:noWrap w:val="0"/>
                  <w:vAlign w:val="center"/>
                </w:tcPr>
                <w:p>
                  <w:pPr>
                    <w:jc w:val="center"/>
                  </w:pPr>
                  <w:r>
                    <w:t>18</w:t>
                  </w:r>
                </w:p>
              </w:tc>
              <w:tc>
                <w:tcPr>
                  <w:tcW w:w="741" w:type="dxa"/>
                  <w:tcBorders>
                    <w:top w:val="single" w:color="auto" w:sz="2" w:space="0"/>
                    <w:left w:val="single" w:color="auto" w:sz="2" w:space="0"/>
                    <w:bottom w:val="single" w:color="auto" w:sz="2" w:space="0"/>
                    <w:right w:val="single" w:color="auto" w:sz="2" w:space="0"/>
                  </w:tcBorders>
                  <w:noWrap w:val="0"/>
                  <w:vAlign w:val="center"/>
                </w:tcPr>
                <w:p>
                  <w:pPr>
                    <w:jc w:val="center"/>
                  </w:pPr>
                  <w:r>
                    <w:t>30</w:t>
                  </w:r>
                </w:p>
              </w:tc>
              <w:tc>
                <w:tcPr>
                  <w:tcW w:w="675" w:type="dxa"/>
                  <w:tcBorders>
                    <w:top w:val="single" w:color="auto" w:sz="2" w:space="0"/>
                    <w:left w:val="single" w:color="auto" w:sz="2" w:space="0"/>
                    <w:bottom w:val="single" w:color="auto" w:sz="2" w:space="0"/>
                    <w:right w:val="nil"/>
                  </w:tcBorders>
                  <w:noWrap w:val="0"/>
                  <w:vAlign w:val="center"/>
                </w:tcPr>
                <w:p>
                  <w:pPr>
                    <w:jc w:val="cente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79" w:type="dxa"/>
                  <w:vMerge w:val="continue"/>
                  <w:tcBorders>
                    <w:top w:val="single" w:color="auto" w:sz="2" w:space="0"/>
                    <w:left w:val="nil"/>
                    <w:bottom w:val="single" w:color="auto" w:sz="2" w:space="0"/>
                    <w:right w:val="single" w:color="auto" w:sz="2" w:space="0"/>
                  </w:tcBorders>
                  <w:noWrap w:val="0"/>
                  <w:vAlign w:val="center"/>
                </w:tcPr>
                <w:p>
                  <w:pPr>
                    <w:jc w:val="center"/>
                  </w:pPr>
                </w:p>
              </w:tc>
              <w:tc>
                <w:tcPr>
                  <w:tcW w:w="1139" w:type="dxa"/>
                  <w:tcBorders>
                    <w:top w:val="single" w:color="auto" w:sz="2" w:space="0"/>
                    <w:left w:val="single" w:color="auto" w:sz="2" w:space="0"/>
                    <w:bottom w:val="single" w:color="auto" w:sz="2" w:space="0"/>
                    <w:right w:val="single" w:color="auto" w:sz="2" w:space="0"/>
                  </w:tcBorders>
                  <w:noWrap w:val="0"/>
                  <w:vAlign w:val="center"/>
                </w:tcPr>
                <w:p>
                  <w:pPr>
                    <w:jc w:val="center"/>
                  </w:pPr>
                  <w:r>
                    <w:rPr>
                      <w:rFonts w:hint="eastAsia"/>
                    </w:rPr>
                    <w:t>氨氮</w:t>
                  </w:r>
                </w:p>
              </w:tc>
              <w:tc>
                <w:tcPr>
                  <w:tcW w:w="761" w:type="dxa"/>
                  <w:tcBorders>
                    <w:top w:val="single" w:color="auto" w:sz="2" w:space="0"/>
                    <w:left w:val="single" w:color="auto" w:sz="2" w:space="0"/>
                    <w:bottom w:val="single" w:color="auto" w:sz="2" w:space="0"/>
                    <w:right w:val="single" w:color="auto" w:sz="2" w:space="0"/>
                  </w:tcBorders>
                  <w:noWrap w:val="0"/>
                  <w:vAlign w:val="center"/>
                </w:tcPr>
                <w:p>
                  <w:pPr>
                    <w:jc w:val="center"/>
                  </w:pPr>
                  <w:r>
                    <w:t>0.630</w:t>
                  </w:r>
                </w:p>
              </w:tc>
              <w:tc>
                <w:tcPr>
                  <w:tcW w:w="800" w:type="dxa"/>
                  <w:tcBorders>
                    <w:top w:val="single" w:color="auto" w:sz="2" w:space="0"/>
                    <w:left w:val="single" w:color="auto" w:sz="2" w:space="0"/>
                    <w:bottom w:val="single" w:color="auto" w:sz="2" w:space="0"/>
                    <w:right w:val="single" w:color="auto" w:sz="2" w:space="0"/>
                  </w:tcBorders>
                  <w:noWrap w:val="0"/>
                  <w:vAlign w:val="center"/>
                </w:tcPr>
                <w:p>
                  <w:pPr>
                    <w:jc w:val="center"/>
                  </w:pPr>
                  <w:r>
                    <w:t>0.633</w:t>
                  </w:r>
                </w:p>
              </w:tc>
              <w:tc>
                <w:tcPr>
                  <w:tcW w:w="779" w:type="dxa"/>
                  <w:tcBorders>
                    <w:top w:val="single" w:color="auto" w:sz="2" w:space="0"/>
                    <w:left w:val="single" w:color="auto" w:sz="2" w:space="0"/>
                    <w:bottom w:val="single" w:color="auto" w:sz="2" w:space="0"/>
                    <w:right w:val="single" w:color="auto" w:sz="2" w:space="0"/>
                  </w:tcBorders>
                  <w:noWrap w:val="0"/>
                  <w:vAlign w:val="center"/>
                </w:tcPr>
                <w:p>
                  <w:pPr>
                    <w:jc w:val="center"/>
                  </w:pPr>
                  <w:r>
                    <w:t>0.615</w:t>
                  </w:r>
                </w:p>
              </w:tc>
              <w:tc>
                <w:tcPr>
                  <w:tcW w:w="823" w:type="dxa"/>
                  <w:tcBorders>
                    <w:top w:val="single" w:color="auto" w:sz="2" w:space="0"/>
                    <w:left w:val="single" w:color="auto" w:sz="2" w:space="0"/>
                    <w:bottom w:val="single" w:color="auto" w:sz="2" w:space="0"/>
                    <w:right w:val="single" w:color="auto" w:sz="2" w:space="0"/>
                  </w:tcBorders>
                  <w:noWrap w:val="0"/>
                  <w:vAlign w:val="center"/>
                </w:tcPr>
                <w:p>
                  <w:pPr>
                    <w:jc w:val="center"/>
                  </w:pPr>
                  <w:r>
                    <w:t>0.627</w:t>
                  </w:r>
                </w:p>
              </w:tc>
              <w:tc>
                <w:tcPr>
                  <w:tcW w:w="902" w:type="dxa"/>
                  <w:tcBorders>
                    <w:top w:val="single" w:color="auto" w:sz="2" w:space="0"/>
                    <w:left w:val="single" w:color="auto" w:sz="2" w:space="0"/>
                    <w:bottom w:val="single" w:color="auto" w:sz="2" w:space="0"/>
                    <w:right w:val="single" w:color="auto" w:sz="2" w:space="0"/>
                  </w:tcBorders>
                  <w:noWrap w:val="0"/>
                  <w:vAlign w:val="center"/>
                </w:tcPr>
                <w:p>
                  <w:pPr>
                    <w:jc w:val="center"/>
                  </w:pPr>
                  <w:r>
                    <w:t>0.627</w:t>
                  </w:r>
                </w:p>
              </w:tc>
              <w:tc>
                <w:tcPr>
                  <w:tcW w:w="885" w:type="dxa"/>
                  <w:tcBorders>
                    <w:top w:val="single" w:color="auto" w:sz="2" w:space="0"/>
                    <w:left w:val="single" w:color="auto" w:sz="2" w:space="0"/>
                    <w:bottom w:val="single" w:color="auto" w:sz="2" w:space="0"/>
                    <w:right w:val="single" w:color="auto" w:sz="2" w:space="0"/>
                  </w:tcBorders>
                  <w:noWrap w:val="0"/>
                  <w:vAlign w:val="center"/>
                </w:tcPr>
                <w:p>
                  <w:pPr>
                    <w:jc w:val="center"/>
                  </w:pPr>
                  <w:r>
                    <w:t>0.630</w:t>
                  </w:r>
                </w:p>
              </w:tc>
              <w:tc>
                <w:tcPr>
                  <w:tcW w:w="741" w:type="dxa"/>
                  <w:tcBorders>
                    <w:top w:val="single" w:color="auto" w:sz="2" w:space="0"/>
                    <w:left w:val="single" w:color="auto" w:sz="2" w:space="0"/>
                    <w:bottom w:val="single" w:color="auto" w:sz="2" w:space="0"/>
                    <w:right w:val="single" w:color="auto" w:sz="2" w:space="0"/>
                  </w:tcBorders>
                  <w:noWrap w:val="0"/>
                  <w:vAlign w:val="center"/>
                </w:tcPr>
                <w:p>
                  <w:pPr>
                    <w:jc w:val="center"/>
                  </w:pPr>
                  <w:r>
                    <w:t>1.5</w:t>
                  </w:r>
                </w:p>
              </w:tc>
              <w:tc>
                <w:tcPr>
                  <w:tcW w:w="675" w:type="dxa"/>
                  <w:tcBorders>
                    <w:top w:val="single" w:color="auto" w:sz="2" w:space="0"/>
                    <w:left w:val="single" w:color="auto" w:sz="2" w:space="0"/>
                    <w:bottom w:val="single" w:color="auto" w:sz="2" w:space="0"/>
                    <w:right w:val="nil"/>
                  </w:tcBorders>
                  <w:noWrap w:val="0"/>
                  <w:vAlign w:val="center"/>
                </w:tcPr>
                <w:p>
                  <w:pPr>
                    <w:jc w:val="cente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79" w:type="dxa"/>
                  <w:vMerge w:val="continue"/>
                  <w:tcBorders>
                    <w:top w:val="single" w:color="auto" w:sz="2" w:space="0"/>
                    <w:left w:val="nil"/>
                    <w:bottom w:val="single" w:color="auto" w:sz="2" w:space="0"/>
                    <w:right w:val="single" w:color="auto" w:sz="2" w:space="0"/>
                  </w:tcBorders>
                  <w:noWrap w:val="0"/>
                  <w:vAlign w:val="center"/>
                </w:tcPr>
                <w:p>
                  <w:pPr>
                    <w:jc w:val="center"/>
                  </w:pPr>
                </w:p>
              </w:tc>
              <w:tc>
                <w:tcPr>
                  <w:tcW w:w="1139" w:type="dxa"/>
                  <w:tcBorders>
                    <w:top w:val="single" w:color="auto" w:sz="2" w:space="0"/>
                    <w:left w:val="single" w:color="auto" w:sz="2" w:space="0"/>
                    <w:bottom w:val="single" w:color="auto" w:sz="2" w:space="0"/>
                    <w:right w:val="single" w:color="auto" w:sz="2" w:space="0"/>
                  </w:tcBorders>
                  <w:noWrap w:val="0"/>
                  <w:vAlign w:val="center"/>
                </w:tcPr>
                <w:p>
                  <w:pPr>
                    <w:jc w:val="center"/>
                  </w:pPr>
                  <w:r>
                    <w:rPr>
                      <w:rFonts w:hint="eastAsia"/>
                    </w:rPr>
                    <w:t>总磷</w:t>
                  </w:r>
                </w:p>
              </w:tc>
              <w:tc>
                <w:tcPr>
                  <w:tcW w:w="761" w:type="dxa"/>
                  <w:tcBorders>
                    <w:top w:val="single" w:color="auto" w:sz="2" w:space="0"/>
                    <w:left w:val="single" w:color="auto" w:sz="2" w:space="0"/>
                    <w:bottom w:val="single" w:color="auto" w:sz="2" w:space="0"/>
                    <w:right w:val="single" w:color="auto" w:sz="2" w:space="0"/>
                  </w:tcBorders>
                  <w:noWrap w:val="0"/>
                  <w:vAlign w:val="center"/>
                </w:tcPr>
                <w:p>
                  <w:pPr>
                    <w:jc w:val="center"/>
                  </w:pPr>
                  <w:r>
                    <w:t>0.13</w:t>
                  </w:r>
                </w:p>
              </w:tc>
              <w:tc>
                <w:tcPr>
                  <w:tcW w:w="800" w:type="dxa"/>
                  <w:tcBorders>
                    <w:top w:val="single" w:color="auto" w:sz="2" w:space="0"/>
                    <w:left w:val="single" w:color="auto" w:sz="2" w:space="0"/>
                    <w:bottom w:val="single" w:color="auto" w:sz="2" w:space="0"/>
                    <w:right w:val="single" w:color="auto" w:sz="2" w:space="0"/>
                  </w:tcBorders>
                  <w:noWrap w:val="0"/>
                  <w:vAlign w:val="center"/>
                </w:tcPr>
                <w:p>
                  <w:pPr>
                    <w:jc w:val="center"/>
                  </w:pPr>
                  <w:r>
                    <w:t>0.14</w:t>
                  </w:r>
                </w:p>
              </w:tc>
              <w:tc>
                <w:tcPr>
                  <w:tcW w:w="779" w:type="dxa"/>
                  <w:tcBorders>
                    <w:top w:val="single" w:color="auto" w:sz="2" w:space="0"/>
                    <w:left w:val="single" w:color="auto" w:sz="2" w:space="0"/>
                    <w:bottom w:val="single" w:color="auto" w:sz="2" w:space="0"/>
                    <w:right w:val="single" w:color="auto" w:sz="2" w:space="0"/>
                  </w:tcBorders>
                  <w:noWrap w:val="0"/>
                  <w:vAlign w:val="center"/>
                </w:tcPr>
                <w:p>
                  <w:pPr>
                    <w:jc w:val="center"/>
                  </w:pPr>
                  <w:r>
                    <w:t>0.13</w:t>
                  </w:r>
                </w:p>
              </w:tc>
              <w:tc>
                <w:tcPr>
                  <w:tcW w:w="823" w:type="dxa"/>
                  <w:tcBorders>
                    <w:top w:val="single" w:color="auto" w:sz="2" w:space="0"/>
                    <w:left w:val="single" w:color="auto" w:sz="2" w:space="0"/>
                    <w:bottom w:val="single" w:color="auto" w:sz="2" w:space="0"/>
                    <w:right w:val="single" w:color="auto" w:sz="2" w:space="0"/>
                  </w:tcBorders>
                  <w:noWrap w:val="0"/>
                  <w:vAlign w:val="center"/>
                </w:tcPr>
                <w:p>
                  <w:pPr>
                    <w:jc w:val="center"/>
                  </w:pPr>
                  <w:r>
                    <w:t>0.13</w:t>
                  </w:r>
                </w:p>
              </w:tc>
              <w:tc>
                <w:tcPr>
                  <w:tcW w:w="902" w:type="dxa"/>
                  <w:tcBorders>
                    <w:top w:val="single" w:color="auto" w:sz="2" w:space="0"/>
                    <w:left w:val="single" w:color="auto" w:sz="2" w:space="0"/>
                    <w:bottom w:val="single" w:color="auto" w:sz="2" w:space="0"/>
                    <w:right w:val="single" w:color="auto" w:sz="2" w:space="0"/>
                  </w:tcBorders>
                  <w:noWrap w:val="0"/>
                  <w:vAlign w:val="center"/>
                </w:tcPr>
                <w:p>
                  <w:pPr>
                    <w:jc w:val="center"/>
                  </w:pPr>
                  <w:r>
                    <w:t>0.12</w:t>
                  </w:r>
                </w:p>
              </w:tc>
              <w:tc>
                <w:tcPr>
                  <w:tcW w:w="885" w:type="dxa"/>
                  <w:tcBorders>
                    <w:top w:val="single" w:color="auto" w:sz="2" w:space="0"/>
                    <w:left w:val="single" w:color="auto" w:sz="2" w:space="0"/>
                    <w:bottom w:val="single" w:color="auto" w:sz="2" w:space="0"/>
                    <w:right w:val="single" w:color="auto" w:sz="2" w:space="0"/>
                  </w:tcBorders>
                  <w:noWrap w:val="0"/>
                  <w:vAlign w:val="center"/>
                </w:tcPr>
                <w:p>
                  <w:pPr>
                    <w:jc w:val="center"/>
                  </w:pPr>
                  <w:r>
                    <w:t>0.13</w:t>
                  </w:r>
                </w:p>
              </w:tc>
              <w:tc>
                <w:tcPr>
                  <w:tcW w:w="741" w:type="dxa"/>
                  <w:tcBorders>
                    <w:top w:val="single" w:color="auto" w:sz="2" w:space="0"/>
                    <w:left w:val="single" w:color="auto" w:sz="2" w:space="0"/>
                    <w:bottom w:val="single" w:color="auto" w:sz="2" w:space="0"/>
                    <w:right w:val="single" w:color="auto" w:sz="2" w:space="0"/>
                  </w:tcBorders>
                  <w:noWrap w:val="0"/>
                  <w:vAlign w:val="center"/>
                </w:tcPr>
                <w:p>
                  <w:pPr>
                    <w:jc w:val="center"/>
                  </w:pPr>
                  <w:r>
                    <w:t>0.3</w:t>
                  </w:r>
                </w:p>
              </w:tc>
              <w:tc>
                <w:tcPr>
                  <w:tcW w:w="675" w:type="dxa"/>
                  <w:tcBorders>
                    <w:top w:val="single" w:color="auto" w:sz="2" w:space="0"/>
                    <w:left w:val="single" w:color="auto" w:sz="2" w:space="0"/>
                    <w:bottom w:val="single" w:color="auto" w:sz="2" w:space="0"/>
                    <w:right w:val="nil"/>
                  </w:tcBorders>
                  <w:noWrap w:val="0"/>
                  <w:vAlign w:val="center"/>
                </w:tcPr>
                <w:p>
                  <w:pPr>
                    <w:jc w:val="cente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79" w:type="dxa"/>
                  <w:vMerge w:val="restart"/>
                  <w:tcBorders>
                    <w:top w:val="single" w:color="auto" w:sz="2" w:space="0"/>
                    <w:left w:val="nil"/>
                    <w:bottom w:val="single" w:color="auto" w:sz="2" w:space="0"/>
                    <w:right w:val="single" w:color="auto" w:sz="2" w:space="0"/>
                  </w:tcBorders>
                  <w:noWrap w:val="0"/>
                  <w:vAlign w:val="center"/>
                </w:tcPr>
                <w:p>
                  <w:pPr>
                    <w:jc w:val="center"/>
                  </w:pPr>
                  <w:r>
                    <w:rPr>
                      <w:rFonts w:hint="eastAsia"/>
                    </w:rPr>
                    <w:t>尧塘河W2金坛区第二污水处理厂排口下游</w:t>
                  </w:r>
                  <w:r>
                    <w:t>2000m</w:t>
                  </w:r>
                </w:p>
              </w:tc>
              <w:tc>
                <w:tcPr>
                  <w:tcW w:w="1139" w:type="dxa"/>
                  <w:tcBorders>
                    <w:top w:val="single" w:color="auto" w:sz="2" w:space="0"/>
                    <w:left w:val="single" w:color="auto" w:sz="2" w:space="0"/>
                    <w:bottom w:val="single" w:color="auto" w:sz="2" w:space="0"/>
                    <w:right w:val="single" w:color="auto" w:sz="2" w:space="0"/>
                  </w:tcBorders>
                  <w:noWrap w:val="0"/>
                  <w:vAlign w:val="center"/>
                </w:tcPr>
                <w:p>
                  <w:pPr>
                    <w:jc w:val="center"/>
                  </w:pPr>
                  <w:r>
                    <w:rPr>
                      <w:rFonts w:hint="eastAsia"/>
                    </w:rPr>
                    <w:t>样品状态</w:t>
                  </w:r>
                </w:p>
              </w:tc>
              <w:tc>
                <w:tcPr>
                  <w:tcW w:w="4950" w:type="dxa"/>
                  <w:gridSpan w:val="6"/>
                  <w:tcBorders>
                    <w:top w:val="single" w:color="auto" w:sz="2" w:space="0"/>
                    <w:left w:val="single" w:color="auto" w:sz="2" w:space="0"/>
                    <w:bottom w:val="single" w:color="auto" w:sz="2" w:space="0"/>
                    <w:right w:val="single" w:color="auto" w:sz="2" w:space="0"/>
                  </w:tcBorders>
                  <w:noWrap w:val="0"/>
                  <w:vAlign w:val="center"/>
                </w:tcPr>
                <w:p>
                  <w:pPr>
                    <w:jc w:val="center"/>
                    <w:rPr>
                      <w:sz w:val="18"/>
                    </w:rPr>
                  </w:pPr>
                  <w:r>
                    <w:rPr>
                      <w:rFonts w:hint="eastAsia"/>
                      <w:sz w:val="18"/>
                    </w:rPr>
                    <w:t>无色、无味、无浮油</w:t>
                  </w:r>
                </w:p>
              </w:tc>
              <w:tc>
                <w:tcPr>
                  <w:tcW w:w="741" w:type="dxa"/>
                  <w:tcBorders>
                    <w:top w:val="single" w:color="auto" w:sz="2" w:space="0"/>
                    <w:left w:val="single" w:color="auto" w:sz="2" w:space="0"/>
                    <w:bottom w:val="single" w:color="auto" w:sz="2" w:space="0"/>
                    <w:right w:val="single" w:color="auto" w:sz="2" w:space="0"/>
                  </w:tcBorders>
                  <w:noWrap w:val="0"/>
                  <w:vAlign w:val="center"/>
                </w:tcPr>
                <w:p>
                  <w:pPr>
                    <w:jc w:val="center"/>
                  </w:pPr>
                  <w:r>
                    <w:t>/</w:t>
                  </w:r>
                </w:p>
              </w:tc>
              <w:tc>
                <w:tcPr>
                  <w:tcW w:w="675" w:type="dxa"/>
                  <w:tcBorders>
                    <w:top w:val="single" w:color="auto" w:sz="2" w:space="0"/>
                    <w:left w:val="single" w:color="auto" w:sz="2" w:space="0"/>
                    <w:bottom w:val="single" w:color="auto" w:sz="2" w:space="0"/>
                    <w:right w:val="nil"/>
                  </w:tcBorders>
                  <w:noWrap w:val="0"/>
                  <w:vAlign w:val="center"/>
                </w:tcPr>
                <w:p>
                  <w:pPr>
                    <w:jc w:val="cente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79" w:type="dxa"/>
                  <w:vMerge w:val="continue"/>
                  <w:tcBorders>
                    <w:top w:val="single" w:color="auto" w:sz="2" w:space="0"/>
                    <w:left w:val="nil"/>
                    <w:bottom w:val="single" w:color="auto" w:sz="2" w:space="0"/>
                    <w:right w:val="single" w:color="auto" w:sz="2" w:space="0"/>
                  </w:tcBorders>
                  <w:noWrap w:val="0"/>
                  <w:vAlign w:val="center"/>
                </w:tcPr>
                <w:p>
                  <w:pPr>
                    <w:jc w:val="center"/>
                  </w:pPr>
                </w:p>
              </w:tc>
              <w:tc>
                <w:tcPr>
                  <w:tcW w:w="1139" w:type="dxa"/>
                  <w:tcBorders>
                    <w:top w:val="single" w:color="auto" w:sz="2" w:space="0"/>
                    <w:left w:val="single" w:color="auto" w:sz="2" w:space="0"/>
                    <w:bottom w:val="single" w:color="auto" w:sz="2" w:space="0"/>
                    <w:right w:val="single" w:color="auto" w:sz="2" w:space="0"/>
                  </w:tcBorders>
                  <w:noWrap w:val="0"/>
                  <w:vAlign w:val="center"/>
                </w:tcPr>
                <w:p>
                  <w:pPr>
                    <w:jc w:val="center"/>
                  </w:pPr>
                  <w:r>
                    <w:t>pH</w:t>
                  </w:r>
                  <w:r>
                    <w:rPr>
                      <w:rFonts w:hint="eastAsia"/>
                    </w:rPr>
                    <w:t>值（无量纲）</w:t>
                  </w:r>
                </w:p>
              </w:tc>
              <w:tc>
                <w:tcPr>
                  <w:tcW w:w="761" w:type="dxa"/>
                  <w:tcBorders>
                    <w:top w:val="single" w:color="auto" w:sz="2" w:space="0"/>
                    <w:left w:val="single" w:color="auto" w:sz="2" w:space="0"/>
                    <w:bottom w:val="single" w:color="auto" w:sz="2" w:space="0"/>
                    <w:right w:val="single" w:color="auto" w:sz="2" w:space="0"/>
                  </w:tcBorders>
                  <w:noWrap w:val="0"/>
                  <w:vAlign w:val="center"/>
                </w:tcPr>
                <w:p>
                  <w:pPr>
                    <w:jc w:val="center"/>
                  </w:pPr>
                  <w:r>
                    <w:t>7.62</w:t>
                  </w:r>
                </w:p>
              </w:tc>
              <w:tc>
                <w:tcPr>
                  <w:tcW w:w="800" w:type="dxa"/>
                  <w:tcBorders>
                    <w:top w:val="single" w:color="auto" w:sz="2" w:space="0"/>
                    <w:left w:val="single" w:color="auto" w:sz="2" w:space="0"/>
                    <w:bottom w:val="single" w:color="auto" w:sz="2" w:space="0"/>
                    <w:right w:val="single" w:color="auto" w:sz="2" w:space="0"/>
                  </w:tcBorders>
                  <w:noWrap w:val="0"/>
                  <w:vAlign w:val="center"/>
                </w:tcPr>
                <w:p>
                  <w:pPr>
                    <w:jc w:val="center"/>
                  </w:pPr>
                  <w:r>
                    <w:t>7.74</w:t>
                  </w:r>
                </w:p>
              </w:tc>
              <w:tc>
                <w:tcPr>
                  <w:tcW w:w="779" w:type="dxa"/>
                  <w:tcBorders>
                    <w:top w:val="single" w:color="auto" w:sz="2" w:space="0"/>
                    <w:left w:val="single" w:color="auto" w:sz="2" w:space="0"/>
                    <w:bottom w:val="single" w:color="auto" w:sz="2" w:space="0"/>
                    <w:right w:val="single" w:color="auto" w:sz="2" w:space="0"/>
                  </w:tcBorders>
                  <w:noWrap w:val="0"/>
                  <w:vAlign w:val="center"/>
                </w:tcPr>
                <w:p>
                  <w:pPr>
                    <w:jc w:val="center"/>
                  </w:pPr>
                  <w:r>
                    <w:t>7.69</w:t>
                  </w:r>
                </w:p>
              </w:tc>
              <w:tc>
                <w:tcPr>
                  <w:tcW w:w="823" w:type="dxa"/>
                  <w:tcBorders>
                    <w:top w:val="single" w:color="auto" w:sz="2" w:space="0"/>
                    <w:left w:val="single" w:color="auto" w:sz="2" w:space="0"/>
                    <w:bottom w:val="single" w:color="auto" w:sz="2" w:space="0"/>
                    <w:right w:val="single" w:color="auto" w:sz="2" w:space="0"/>
                  </w:tcBorders>
                  <w:noWrap w:val="0"/>
                  <w:vAlign w:val="center"/>
                </w:tcPr>
                <w:p>
                  <w:pPr>
                    <w:jc w:val="center"/>
                  </w:pPr>
                  <w:r>
                    <w:t>7.68</w:t>
                  </w:r>
                </w:p>
              </w:tc>
              <w:tc>
                <w:tcPr>
                  <w:tcW w:w="902" w:type="dxa"/>
                  <w:tcBorders>
                    <w:top w:val="single" w:color="auto" w:sz="2" w:space="0"/>
                    <w:left w:val="single" w:color="auto" w:sz="2" w:space="0"/>
                    <w:bottom w:val="single" w:color="auto" w:sz="2" w:space="0"/>
                    <w:right w:val="single" w:color="auto" w:sz="2" w:space="0"/>
                  </w:tcBorders>
                  <w:noWrap w:val="0"/>
                  <w:vAlign w:val="center"/>
                </w:tcPr>
                <w:p>
                  <w:pPr>
                    <w:jc w:val="center"/>
                  </w:pPr>
                  <w:r>
                    <w:t>7.72</w:t>
                  </w:r>
                </w:p>
              </w:tc>
              <w:tc>
                <w:tcPr>
                  <w:tcW w:w="885" w:type="dxa"/>
                  <w:tcBorders>
                    <w:top w:val="single" w:color="auto" w:sz="2" w:space="0"/>
                    <w:left w:val="single" w:color="auto" w:sz="2" w:space="0"/>
                    <w:bottom w:val="single" w:color="auto" w:sz="2" w:space="0"/>
                    <w:right w:val="single" w:color="auto" w:sz="2" w:space="0"/>
                  </w:tcBorders>
                  <w:noWrap w:val="0"/>
                  <w:vAlign w:val="center"/>
                </w:tcPr>
                <w:p>
                  <w:pPr>
                    <w:jc w:val="center"/>
                  </w:pPr>
                  <w:r>
                    <w:t>7.72</w:t>
                  </w:r>
                </w:p>
              </w:tc>
              <w:tc>
                <w:tcPr>
                  <w:tcW w:w="741" w:type="dxa"/>
                  <w:tcBorders>
                    <w:top w:val="single" w:color="auto" w:sz="2" w:space="0"/>
                    <w:left w:val="single" w:color="auto" w:sz="2" w:space="0"/>
                    <w:bottom w:val="single" w:color="auto" w:sz="2" w:space="0"/>
                    <w:right w:val="single" w:color="auto" w:sz="2" w:space="0"/>
                  </w:tcBorders>
                  <w:noWrap w:val="0"/>
                  <w:vAlign w:val="center"/>
                </w:tcPr>
                <w:p>
                  <w:pPr>
                    <w:jc w:val="center"/>
                  </w:pPr>
                  <w:r>
                    <w:t>6~9</w:t>
                  </w:r>
                </w:p>
              </w:tc>
              <w:tc>
                <w:tcPr>
                  <w:tcW w:w="675" w:type="dxa"/>
                  <w:tcBorders>
                    <w:top w:val="single" w:color="auto" w:sz="2" w:space="0"/>
                    <w:left w:val="single" w:color="auto" w:sz="2" w:space="0"/>
                    <w:bottom w:val="single" w:color="auto" w:sz="2" w:space="0"/>
                    <w:right w:val="nil"/>
                  </w:tcBorders>
                  <w:noWrap w:val="0"/>
                  <w:vAlign w:val="center"/>
                </w:tcPr>
                <w:p>
                  <w:pPr>
                    <w:jc w:val="cente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79" w:type="dxa"/>
                  <w:vMerge w:val="continue"/>
                  <w:tcBorders>
                    <w:top w:val="single" w:color="auto" w:sz="2" w:space="0"/>
                    <w:left w:val="nil"/>
                    <w:bottom w:val="single" w:color="auto" w:sz="2" w:space="0"/>
                    <w:right w:val="single" w:color="auto" w:sz="2" w:space="0"/>
                  </w:tcBorders>
                  <w:noWrap w:val="0"/>
                  <w:vAlign w:val="center"/>
                </w:tcPr>
                <w:p>
                  <w:pPr>
                    <w:jc w:val="center"/>
                  </w:pPr>
                </w:p>
              </w:tc>
              <w:tc>
                <w:tcPr>
                  <w:tcW w:w="1139" w:type="dxa"/>
                  <w:tcBorders>
                    <w:top w:val="single" w:color="auto" w:sz="2" w:space="0"/>
                    <w:left w:val="single" w:color="auto" w:sz="2" w:space="0"/>
                    <w:bottom w:val="single" w:color="auto" w:sz="2" w:space="0"/>
                    <w:right w:val="single" w:color="auto" w:sz="2" w:space="0"/>
                  </w:tcBorders>
                  <w:noWrap w:val="0"/>
                  <w:vAlign w:val="center"/>
                </w:tcPr>
                <w:p>
                  <w:pPr>
                    <w:jc w:val="center"/>
                  </w:pPr>
                  <w:r>
                    <w:rPr>
                      <w:rFonts w:hint="eastAsia"/>
                    </w:rPr>
                    <w:t>化学需氧量</w:t>
                  </w:r>
                </w:p>
              </w:tc>
              <w:tc>
                <w:tcPr>
                  <w:tcW w:w="761" w:type="dxa"/>
                  <w:tcBorders>
                    <w:top w:val="single" w:color="auto" w:sz="2" w:space="0"/>
                    <w:left w:val="single" w:color="auto" w:sz="2" w:space="0"/>
                    <w:bottom w:val="single" w:color="auto" w:sz="2" w:space="0"/>
                    <w:right w:val="single" w:color="auto" w:sz="2" w:space="0"/>
                  </w:tcBorders>
                  <w:noWrap w:val="0"/>
                  <w:vAlign w:val="center"/>
                </w:tcPr>
                <w:p>
                  <w:pPr>
                    <w:jc w:val="center"/>
                  </w:pPr>
                  <w:r>
                    <w:t>18</w:t>
                  </w:r>
                </w:p>
              </w:tc>
              <w:tc>
                <w:tcPr>
                  <w:tcW w:w="800" w:type="dxa"/>
                  <w:tcBorders>
                    <w:top w:val="single" w:color="auto" w:sz="2" w:space="0"/>
                    <w:left w:val="single" w:color="auto" w:sz="2" w:space="0"/>
                    <w:bottom w:val="single" w:color="auto" w:sz="2" w:space="0"/>
                    <w:right w:val="single" w:color="auto" w:sz="2" w:space="0"/>
                  </w:tcBorders>
                  <w:noWrap w:val="0"/>
                  <w:vAlign w:val="center"/>
                </w:tcPr>
                <w:p>
                  <w:pPr>
                    <w:jc w:val="center"/>
                  </w:pPr>
                  <w:r>
                    <w:t>19</w:t>
                  </w:r>
                </w:p>
              </w:tc>
              <w:tc>
                <w:tcPr>
                  <w:tcW w:w="779" w:type="dxa"/>
                  <w:tcBorders>
                    <w:top w:val="single" w:color="auto" w:sz="2" w:space="0"/>
                    <w:left w:val="single" w:color="auto" w:sz="2" w:space="0"/>
                    <w:bottom w:val="single" w:color="auto" w:sz="2" w:space="0"/>
                    <w:right w:val="single" w:color="auto" w:sz="2" w:space="0"/>
                  </w:tcBorders>
                  <w:noWrap w:val="0"/>
                  <w:vAlign w:val="center"/>
                </w:tcPr>
                <w:p>
                  <w:pPr>
                    <w:jc w:val="center"/>
                  </w:pPr>
                  <w:r>
                    <w:t>16</w:t>
                  </w:r>
                </w:p>
              </w:tc>
              <w:tc>
                <w:tcPr>
                  <w:tcW w:w="823" w:type="dxa"/>
                  <w:tcBorders>
                    <w:top w:val="single" w:color="auto" w:sz="2" w:space="0"/>
                    <w:left w:val="single" w:color="auto" w:sz="2" w:space="0"/>
                    <w:bottom w:val="single" w:color="auto" w:sz="2" w:space="0"/>
                    <w:right w:val="single" w:color="auto" w:sz="2" w:space="0"/>
                  </w:tcBorders>
                  <w:noWrap w:val="0"/>
                  <w:vAlign w:val="center"/>
                </w:tcPr>
                <w:p>
                  <w:pPr>
                    <w:jc w:val="center"/>
                  </w:pPr>
                  <w:r>
                    <w:t>17</w:t>
                  </w:r>
                </w:p>
              </w:tc>
              <w:tc>
                <w:tcPr>
                  <w:tcW w:w="902" w:type="dxa"/>
                  <w:tcBorders>
                    <w:top w:val="single" w:color="auto" w:sz="2" w:space="0"/>
                    <w:left w:val="single" w:color="auto" w:sz="2" w:space="0"/>
                    <w:bottom w:val="single" w:color="auto" w:sz="2" w:space="0"/>
                    <w:right w:val="single" w:color="auto" w:sz="2" w:space="0"/>
                  </w:tcBorders>
                  <w:noWrap w:val="0"/>
                  <w:vAlign w:val="center"/>
                </w:tcPr>
                <w:p>
                  <w:pPr>
                    <w:jc w:val="center"/>
                  </w:pPr>
                  <w:r>
                    <w:t>16</w:t>
                  </w:r>
                </w:p>
              </w:tc>
              <w:tc>
                <w:tcPr>
                  <w:tcW w:w="885" w:type="dxa"/>
                  <w:tcBorders>
                    <w:top w:val="single" w:color="auto" w:sz="2" w:space="0"/>
                    <w:left w:val="single" w:color="auto" w:sz="2" w:space="0"/>
                    <w:bottom w:val="single" w:color="auto" w:sz="2" w:space="0"/>
                    <w:right w:val="single" w:color="auto" w:sz="2" w:space="0"/>
                  </w:tcBorders>
                  <w:noWrap w:val="0"/>
                  <w:vAlign w:val="center"/>
                </w:tcPr>
                <w:p>
                  <w:pPr>
                    <w:jc w:val="center"/>
                  </w:pPr>
                  <w:r>
                    <w:t>17</w:t>
                  </w:r>
                </w:p>
              </w:tc>
              <w:tc>
                <w:tcPr>
                  <w:tcW w:w="741" w:type="dxa"/>
                  <w:tcBorders>
                    <w:top w:val="single" w:color="auto" w:sz="2" w:space="0"/>
                    <w:left w:val="single" w:color="auto" w:sz="2" w:space="0"/>
                    <w:bottom w:val="single" w:color="auto" w:sz="2" w:space="0"/>
                    <w:right w:val="single" w:color="auto" w:sz="2" w:space="0"/>
                  </w:tcBorders>
                  <w:noWrap w:val="0"/>
                  <w:vAlign w:val="center"/>
                </w:tcPr>
                <w:p>
                  <w:pPr>
                    <w:jc w:val="center"/>
                  </w:pPr>
                  <w:r>
                    <w:t>30</w:t>
                  </w:r>
                </w:p>
              </w:tc>
              <w:tc>
                <w:tcPr>
                  <w:tcW w:w="675" w:type="dxa"/>
                  <w:tcBorders>
                    <w:top w:val="single" w:color="auto" w:sz="2" w:space="0"/>
                    <w:left w:val="single" w:color="auto" w:sz="2" w:space="0"/>
                    <w:bottom w:val="single" w:color="auto" w:sz="2" w:space="0"/>
                    <w:right w:val="nil"/>
                  </w:tcBorders>
                  <w:noWrap w:val="0"/>
                  <w:vAlign w:val="center"/>
                </w:tcPr>
                <w:p>
                  <w:pPr>
                    <w:jc w:val="cente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79" w:type="dxa"/>
                  <w:vMerge w:val="continue"/>
                  <w:tcBorders>
                    <w:top w:val="single" w:color="auto" w:sz="2" w:space="0"/>
                    <w:left w:val="nil"/>
                    <w:bottom w:val="single" w:color="auto" w:sz="2" w:space="0"/>
                    <w:right w:val="single" w:color="auto" w:sz="2" w:space="0"/>
                  </w:tcBorders>
                  <w:noWrap w:val="0"/>
                  <w:vAlign w:val="center"/>
                </w:tcPr>
                <w:p>
                  <w:pPr>
                    <w:jc w:val="center"/>
                  </w:pPr>
                </w:p>
              </w:tc>
              <w:tc>
                <w:tcPr>
                  <w:tcW w:w="1139" w:type="dxa"/>
                  <w:tcBorders>
                    <w:top w:val="single" w:color="auto" w:sz="2" w:space="0"/>
                    <w:left w:val="single" w:color="auto" w:sz="2" w:space="0"/>
                    <w:bottom w:val="single" w:color="auto" w:sz="2" w:space="0"/>
                    <w:right w:val="single" w:color="auto" w:sz="2" w:space="0"/>
                  </w:tcBorders>
                  <w:noWrap w:val="0"/>
                  <w:vAlign w:val="center"/>
                </w:tcPr>
                <w:p>
                  <w:pPr>
                    <w:jc w:val="center"/>
                  </w:pPr>
                  <w:r>
                    <w:rPr>
                      <w:rFonts w:hint="eastAsia"/>
                    </w:rPr>
                    <w:t>氨氮</w:t>
                  </w:r>
                </w:p>
              </w:tc>
              <w:tc>
                <w:tcPr>
                  <w:tcW w:w="761" w:type="dxa"/>
                  <w:tcBorders>
                    <w:top w:val="single" w:color="auto" w:sz="2" w:space="0"/>
                    <w:left w:val="single" w:color="auto" w:sz="2" w:space="0"/>
                    <w:bottom w:val="single" w:color="auto" w:sz="2" w:space="0"/>
                    <w:right w:val="single" w:color="auto" w:sz="2" w:space="0"/>
                  </w:tcBorders>
                  <w:noWrap w:val="0"/>
                  <w:vAlign w:val="center"/>
                </w:tcPr>
                <w:p>
                  <w:pPr>
                    <w:jc w:val="center"/>
                  </w:pPr>
                  <w:r>
                    <w:t>0.734</w:t>
                  </w:r>
                </w:p>
              </w:tc>
              <w:tc>
                <w:tcPr>
                  <w:tcW w:w="800" w:type="dxa"/>
                  <w:tcBorders>
                    <w:top w:val="single" w:color="auto" w:sz="2" w:space="0"/>
                    <w:left w:val="single" w:color="auto" w:sz="2" w:space="0"/>
                    <w:bottom w:val="single" w:color="auto" w:sz="2" w:space="0"/>
                    <w:right w:val="single" w:color="auto" w:sz="2" w:space="0"/>
                  </w:tcBorders>
                  <w:noWrap w:val="0"/>
                  <w:vAlign w:val="center"/>
                </w:tcPr>
                <w:p>
                  <w:pPr>
                    <w:jc w:val="center"/>
                  </w:pPr>
                  <w:r>
                    <w:t>0.740</w:t>
                  </w:r>
                </w:p>
              </w:tc>
              <w:tc>
                <w:tcPr>
                  <w:tcW w:w="779" w:type="dxa"/>
                  <w:tcBorders>
                    <w:top w:val="single" w:color="auto" w:sz="2" w:space="0"/>
                    <w:left w:val="single" w:color="auto" w:sz="2" w:space="0"/>
                    <w:bottom w:val="single" w:color="auto" w:sz="2" w:space="0"/>
                    <w:right w:val="single" w:color="auto" w:sz="2" w:space="0"/>
                  </w:tcBorders>
                  <w:noWrap w:val="0"/>
                  <w:vAlign w:val="center"/>
                </w:tcPr>
                <w:p>
                  <w:pPr>
                    <w:jc w:val="center"/>
                  </w:pPr>
                  <w:r>
                    <w:t>0.764</w:t>
                  </w:r>
                </w:p>
              </w:tc>
              <w:tc>
                <w:tcPr>
                  <w:tcW w:w="823" w:type="dxa"/>
                  <w:tcBorders>
                    <w:top w:val="single" w:color="auto" w:sz="2" w:space="0"/>
                    <w:left w:val="single" w:color="auto" w:sz="2" w:space="0"/>
                    <w:bottom w:val="single" w:color="auto" w:sz="2" w:space="0"/>
                    <w:right w:val="single" w:color="auto" w:sz="2" w:space="0"/>
                  </w:tcBorders>
                  <w:noWrap w:val="0"/>
                  <w:vAlign w:val="center"/>
                </w:tcPr>
                <w:p>
                  <w:pPr>
                    <w:jc w:val="center"/>
                  </w:pPr>
                  <w:r>
                    <w:t>0.740</w:t>
                  </w:r>
                </w:p>
              </w:tc>
              <w:tc>
                <w:tcPr>
                  <w:tcW w:w="902" w:type="dxa"/>
                  <w:tcBorders>
                    <w:top w:val="single" w:color="auto" w:sz="2" w:space="0"/>
                    <w:left w:val="single" w:color="auto" w:sz="2" w:space="0"/>
                    <w:bottom w:val="single" w:color="auto" w:sz="2" w:space="0"/>
                    <w:right w:val="single" w:color="auto" w:sz="2" w:space="0"/>
                  </w:tcBorders>
                  <w:noWrap w:val="0"/>
                  <w:vAlign w:val="center"/>
                </w:tcPr>
                <w:p>
                  <w:pPr>
                    <w:jc w:val="center"/>
                  </w:pPr>
                  <w:r>
                    <w:t>0.745</w:t>
                  </w:r>
                </w:p>
              </w:tc>
              <w:tc>
                <w:tcPr>
                  <w:tcW w:w="885" w:type="dxa"/>
                  <w:tcBorders>
                    <w:top w:val="single" w:color="auto" w:sz="2" w:space="0"/>
                    <w:left w:val="single" w:color="auto" w:sz="2" w:space="0"/>
                    <w:bottom w:val="single" w:color="auto" w:sz="2" w:space="0"/>
                    <w:right w:val="single" w:color="auto" w:sz="2" w:space="0"/>
                  </w:tcBorders>
                  <w:noWrap w:val="0"/>
                  <w:vAlign w:val="center"/>
                </w:tcPr>
                <w:p>
                  <w:pPr>
                    <w:jc w:val="center"/>
                  </w:pPr>
                  <w:r>
                    <w:t>0.739</w:t>
                  </w:r>
                </w:p>
              </w:tc>
              <w:tc>
                <w:tcPr>
                  <w:tcW w:w="741" w:type="dxa"/>
                  <w:tcBorders>
                    <w:top w:val="single" w:color="auto" w:sz="2" w:space="0"/>
                    <w:left w:val="single" w:color="auto" w:sz="2" w:space="0"/>
                    <w:bottom w:val="single" w:color="auto" w:sz="2" w:space="0"/>
                    <w:right w:val="single" w:color="auto" w:sz="2" w:space="0"/>
                  </w:tcBorders>
                  <w:noWrap w:val="0"/>
                  <w:vAlign w:val="center"/>
                </w:tcPr>
                <w:p>
                  <w:pPr>
                    <w:jc w:val="center"/>
                  </w:pPr>
                  <w:r>
                    <w:t>1.5</w:t>
                  </w:r>
                </w:p>
              </w:tc>
              <w:tc>
                <w:tcPr>
                  <w:tcW w:w="675" w:type="dxa"/>
                  <w:tcBorders>
                    <w:top w:val="single" w:color="auto" w:sz="2" w:space="0"/>
                    <w:left w:val="single" w:color="auto" w:sz="2" w:space="0"/>
                    <w:bottom w:val="single" w:color="auto" w:sz="2" w:space="0"/>
                    <w:right w:val="nil"/>
                  </w:tcBorders>
                  <w:noWrap w:val="0"/>
                  <w:vAlign w:val="center"/>
                </w:tcPr>
                <w:p>
                  <w:pPr>
                    <w:jc w:val="cente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79" w:type="dxa"/>
                  <w:vMerge w:val="continue"/>
                  <w:tcBorders>
                    <w:top w:val="single" w:color="auto" w:sz="2" w:space="0"/>
                    <w:left w:val="nil"/>
                    <w:bottom w:val="single" w:color="auto" w:sz="12" w:space="0"/>
                    <w:right w:val="single" w:color="auto" w:sz="2" w:space="0"/>
                  </w:tcBorders>
                  <w:noWrap w:val="0"/>
                  <w:vAlign w:val="center"/>
                </w:tcPr>
                <w:p>
                  <w:pPr>
                    <w:jc w:val="center"/>
                  </w:pPr>
                </w:p>
              </w:tc>
              <w:tc>
                <w:tcPr>
                  <w:tcW w:w="1139" w:type="dxa"/>
                  <w:tcBorders>
                    <w:top w:val="single" w:color="auto" w:sz="2" w:space="0"/>
                    <w:left w:val="single" w:color="auto" w:sz="2" w:space="0"/>
                    <w:bottom w:val="single" w:color="auto" w:sz="12" w:space="0"/>
                    <w:right w:val="single" w:color="auto" w:sz="2" w:space="0"/>
                  </w:tcBorders>
                  <w:noWrap w:val="0"/>
                  <w:vAlign w:val="center"/>
                </w:tcPr>
                <w:p>
                  <w:pPr>
                    <w:jc w:val="center"/>
                  </w:pPr>
                  <w:r>
                    <w:rPr>
                      <w:rFonts w:hint="eastAsia"/>
                    </w:rPr>
                    <w:t>总磷</w:t>
                  </w:r>
                </w:p>
              </w:tc>
              <w:tc>
                <w:tcPr>
                  <w:tcW w:w="761" w:type="dxa"/>
                  <w:tcBorders>
                    <w:top w:val="single" w:color="auto" w:sz="2" w:space="0"/>
                    <w:left w:val="single" w:color="auto" w:sz="2" w:space="0"/>
                    <w:bottom w:val="single" w:color="auto" w:sz="12" w:space="0"/>
                    <w:right w:val="single" w:color="auto" w:sz="2" w:space="0"/>
                  </w:tcBorders>
                  <w:noWrap w:val="0"/>
                  <w:vAlign w:val="center"/>
                </w:tcPr>
                <w:p>
                  <w:pPr>
                    <w:jc w:val="center"/>
                  </w:pPr>
                  <w:r>
                    <w:t>0.12</w:t>
                  </w:r>
                </w:p>
              </w:tc>
              <w:tc>
                <w:tcPr>
                  <w:tcW w:w="800" w:type="dxa"/>
                  <w:tcBorders>
                    <w:top w:val="single" w:color="auto" w:sz="2" w:space="0"/>
                    <w:left w:val="single" w:color="auto" w:sz="2" w:space="0"/>
                    <w:bottom w:val="single" w:color="auto" w:sz="12" w:space="0"/>
                    <w:right w:val="single" w:color="auto" w:sz="2" w:space="0"/>
                  </w:tcBorders>
                  <w:noWrap w:val="0"/>
                  <w:vAlign w:val="center"/>
                </w:tcPr>
                <w:p>
                  <w:pPr>
                    <w:jc w:val="center"/>
                  </w:pPr>
                  <w:r>
                    <w:t>0.13</w:t>
                  </w:r>
                </w:p>
              </w:tc>
              <w:tc>
                <w:tcPr>
                  <w:tcW w:w="779" w:type="dxa"/>
                  <w:tcBorders>
                    <w:top w:val="single" w:color="auto" w:sz="2" w:space="0"/>
                    <w:left w:val="single" w:color="auto" w:sz="2" w:space="0"/>
                    <w:bottom w:val="single" w:color="auto" w:sz="12" w:space="0"/>
                    <w:right w:val="single" w:color="auto" w:sz="2" w:space="0"/>
                  </w:tcBorders>
                  <w:noWrap w:val="0"/>
                  <w:vAlign w:val="center"/>
                </w:tcPr>
                <w:p>
                  <w:pPr>
                    <w:jc w:val="center"/>
                  </w:pPr>
                  <w:r>
                    <w:t>0.14</w:t>
                  </w:r>
                </w:p>
              </w:tc>
              <w:tc>
                <w:tcPr>
                  <w:tcW w:w="823" w:type="dxa"/>
                  <w:tcBorders>
                    <w:top w:val="single" w:color="auto" w:sz="2" w:space="0"/>
                    <w:left w:val="single" w:color="auto" w:sz="2" w:space="0"/>
                    <w:bottom w:val="single" w:color="auto" w:sz="12" w:space="0"/>
                    <w:right w:val="single" w:color="auto" w:sz="2" w:space="0"/>
                  </w:tcBorders>
                  <w:noWrap w:val="0"/>
                  <w:vAlign w:val="center"/>
                </w:tcPr>
                <w:p>
                  <w:pPr>
                    <w:jc w:val="center"/>
                  </w:pPr>
                  <w:r>
                    <w:t>0.13</w:t>
                  </w:r>
                </w:p>
              </w:tc>
              <w:tc>
                <w:tcPr>
                  <w:tcW w:w="902" w:type="dxa"/>
                  <w:tcBorders>
                    <w:top w:val="single" w:color="auto" w:sz="2" w:space="0"/>
                    <w:left w:val="single" w:color="auto" w:sz="2" w:space="0"/>
                    <w:bottom w:val="single" w:color="auto" w:sz="12" w:space="0"/>
                    <w:right w:val="single" w:color="auto" w:sz="2" w:space="0"/>
                  </w:tcBorders>
                  <w:noWrap w:val="0"/>
                  <w:vAlign w:val="center"/>
                </w:tcPr>
                <w:p>
                  <w:pPr>
                    <w:jc w:val="center"/>
                  </w:pPr>
                  <w:r>
                    <w:t>0.13</w:t>
                  </w:r>
                </w:p>
              </w:tc>
              <w:tc>
                <w:tcPr>
                  <w:tcW w:w="885" w:type="dxa"/>
                  <w:tcBorders>
                    <w:top w:val="single" w:color="auto" w:sz="2" w:space="0"/>
                    <w:left w:val="single" w:color="auto" w:sz="2" w:space="0"/>
                    <w:bottom w:val="single" w:color="auto" w:sz="12" w:space="0"/>
                    <w:right w:val="single" w:color="auto" w:sz="2" w:space="0"/>
                  </w:tcBorders>
                  <w:noWrap w:val="0"/>
                  <w:vAlign w:val="center"/>
                </w:tcPr>
                <w:p>
                  <w:pPr>
                    <w:jc w:val="center"/>
                  </w:pPr>
                  <w:r>
                    <w:t>0.13</w:t>
                  </w:r>
                </w:p>
              </w:tc>
              <w:tc>
                <w:tcPr>
                  <w:tcW w:w="741" w:type="dxa"/>
                  <w:tcBorders>
                    <w:top w:val="single" w:color="auto" w:sz="2" w:space="0"/>
                    <w:left w:val="single" w:color="auto" w:sz="2" w:space="0"/>
                    <w:bottom w:val="single" w:color="auto" w:sz="12" w:space="0"/>
                    <w:right w:val="single" w:color="auto" w:sz="2" w:space="0"/>
                  </w:tcBorders>
                  <w:noWrap w:val="0"/>
                  <w:vAlign w:val="center"/>
                </w:tcPr>
                <w:p>
                  <w:pPr>
                    <w:jc w:val="center"/>
                  </w:pPr>
                  <w:r>
                    <w:t>0.3</w:t>
                  </w:r>
                </w:p>
              </w:tc>
              <w:tc>
                <w:tcPr>
                  <w:tcW w:w="675" w:type="dxa"/>
                  <w:tcBorders>
                    <w:top w:val="single" w:color="auto" w:sz="2" w:space="0"/>
                    <w:left w:val="single" w:color="auto" w:sz="2" w:space="0"/>
                    <w:bottom w:val="single" w:color="auto" w:sz="12" w:space="0"/>
                    <w:right w:val="nil"/>
                  </w:tcBorders>
                  <w:noWrap w:val="0"/>
                  <w:vAlign w:val="center"/>
                </w:tcPr>
                <w:p>
                  <w:pPr>
                    <w:jc w:val="center"/>
                  </w:pPr>
                  <w:r>
                    <w:rPr>
                      <w:rFonts w:hint="eastAsia"/>
                    </w:rPr>
                    <w:t>达标</w:t>
                  </w:r>
                </w:p>
              </w:tc>
            </w:tr>
          </w:tbl>
          <w:p>
            <w:pPr>
              <w:adjustRightInd w:val="0"/>
              <w:snapToGrid w:val="0"/>
              <w:spacing w:before="120" w:beforeLines="50" w:line="360" w:lineRule="auto"/>
              <w:ind w:firstLine="480" w:firstLineChars="200"/>
              <w:rPr>
                <w:sz w:val="24"/>
              </w:rPr>
            </w:pPr>
            <w:r>
              <w:rPr>
                <w:sz w:val="24"/>
              </w:rPr>
              <w:t>监测数据表明，尧塘河现状监测因子均能满足《地表水环境质量标准》（GB3838-2002）中</w:t>
            </w:r>
            <w:r>
              <w:rPr>
                <w:rFonts w:hint="eastAsia"/>
                <w:sz w:val="24"/>
              </w:rPr>
              <w:t>IV</w:t>
            </w:r>
            <w:r>
              <w:rPr>
                <w:sz w:val="24"/>
              </w:rPr>
              <w:t>类标准，项目地表水评价范围水环境水质良好。</w:t>
            </w:r>
          </w:p>
          <w:p>
            <w:pPr>
              <w:spacing w:line="360" w:lineRule="auto"/>
              <w:ind w:firstLine="482" w:firstLineChars="200"/>
              <w:rPr>
                <w:b/>
                <w:bCs/>
                <w:color w:val="auto"/>
                <w:sz w:val="24"/>
                <w:highlight w:val="none"/>
              </w:rPr>
            </w:pPr>
            <w:r>
              <w:rPr>
                <w:b/>
                <w:bCs/>
                <w:color w:val="auto"/>
                <w:sz w:val="24"/>
                <w:highlight w:val="none"/>
              </w:rPr>
              <w:t>3、噪声</w:t>
            </w:r>
          </w:p>
          <w:p>
            <w:pPr>
              <w:adjustRightInd w:val="0"/>
              <w:snapToGrid w:val="0"/>
              <w:spacing w:line="360" w:lineRule="auto"/>
              <w:ind w:firstLine="480" w:firstLineChars="200"/>
              <w:rPr>
                <w:color w:val="auto"/>
                <w:sz w:val="24"/>
              </w:rPr>
            </w:pPr>
            <w:r>
              <w:rPr>
                <w:rFonts w:hint="eastAsia"/>
                <w:color w:val="auto"/>
                <w:sz w:val="24"/>
              </w:rPr>
              <w:t>江苏久诚</w:t>
            </w:r>
            <w:r>
              <w:rPr>
                <w:color w:val="auto"/>
                <w:sz w:val="24"/>
              </w:rPr>
              <w:t>检验检测有限公司</w:t>
            </w:r>
            <w:r>
              <w:rPr>
                <w:rFonts w:hint="eastAsia"/>
                <w:color w:val="auto"/>
                <w:sz w:val="24"/>
              </w:rPr>
              <w:t>于</w:t>
            </w:r>
            <w:r>
              <w:rPr>
                <w:color w:val="auto"/>
                <w:sz w:val="24"/>
              </w:rPr>
              <w:t>2021年</w:t>
            </w:r>
            <w:r>
              <w:rPr>
                <w:rFonts w:hint="eastAsia"/>
                <w:color w:val="auto"/>
                <w:sz w:val="24"/>
                <w:lang w:val="en-US" w:eastAsia="zh-CN"/>
              </w:rPr>
              <w:t>12</w:t>
            </w:r>
            <w:r>
              <w:rPr>
                <w:color w:val="auto"/>
                <w:sz w:val="24"/>
              </w:rPr>
              <w:t>月</w:t>
            </w:r>
            <w:r>
              <w:rPr>
                <w:rFonts w:hint="eastAsia"/>
                <w:color w:val="auto"/>
                <w:sz w:val="24"/>
                <w:lang w:val="en-US" w:eastAsia="zh-CN"/>
              </w:rPr>
              <w:t>5</w:t>
            </w:r>
            <w:r>
              <w:rPr>
                <w:color w:val="auto"/>
                <w:sz w:val="24"/>
              </w:rPr>
              <w:t>日-2021年</w:t>
            </w:r>
            <w:r>
              <w:rPr>
                <w:rFonts w:hint="eastAsia"/>
                <w:color w:val="auto"/>
                <w:sz w:val="24"/>
                <w:lang w:val="en-US" w:eastAsia="zh-CN"/>
              </w:rPr>
              <w:t>12</w:t>
            </w:r>
            <w:r>
              <w:rPr>
                <w:color w:val="auto"/>
                <w:sz w:val="24"/>
              </w:rPr>
              <w:t>月</w:t>
            </w:r>
            <w:r>
              <w:rPr>
                <w:rFonts w:hint="eastAsia"/>
                <w:color w:val="auto"/>
                <w:sz w:val="24"/>
                <w:lang w:val="en-US" w:eastAsia="zh-CN"/>
              </w:rPr>
              <w:t>6</w:t>
            </w:r>
            <w:r>
              <w:rPr>
                <w:color w:val="auto"/>
                <w:sz w:val="24"/>
              </w:rPr>
              <w:t>日对厂界</w:t>
            </w:r>
            <w:r>
              <w:rPr>
                <w:rFonts w:hint="eastAsia"/>
                <w:color w:val="auto"/>
                <w:sz w:val="24"/>
              </w:rPr>
              <w:t>噪声进行监测</w:t>
            </w:r>
            <w:r>
              <w:rPr>
                <w:color w:val="auto"/>
                <w:sz w:val="24"/>
              </w:rPr>
              <w:t>，</w:t>
            </w:r>
            <w:r>
              <w:rPr>
                <w:rFonts w:hint="eastAsia"/>
                <w:color w:val="auto"/>
                <w:sz w:val="24"/>
              </w:rPr>
              <w:t>项目厂界噪声监测结果见表3-</w:t>
            </w:r>
            <w:r>
              <w:rPr>
                <w:rFonts w:hint="eastAsia"/>
                <w:color w:val="auto"/>
                <w:sz w:val="24"/>
                <w:lang w:val="en-US" w:eastAsia="zh-CN"/>
              </w:rPr>
              <w:t>3</w:t>
            </w:r>
            <w:r>
              <w:rPr>
                <w:color w:val="auto"/>
                <w:sz w:val="24"/>
              </w:rPr>
              <w:t>。</w:t>
            </w:r>
          </w:p>
          <w:p>
            <w:pPr>
              <w:jc w:val="center"/>
              <w:rPr>
                <w:b/>
                <w:bCs/>
                <w:color w:val="auto"/>
                <w:sz w:val="24"/>
              </w:rPr>
            </w:pPr>
            <w:r>
              <w:rPr>
                <w:b/>
                <w:bCs/>
                <w:color w:val="auto"/>
                <w:sz w:val="24"/>
              </w:rPr>
              <w:t>表3-</w:t>
            </w:r>
            <w:r>
              <w:rPr>
                <w:rFonts w:hint="eastAsia"/>
                <w:b/>
                <w:bCs/>
                <w:color w:val="auto"/>
                <w:sz w:val="24"/>
                <w:lang w:val="en-US" w:eastAsia="zh-CN"/>
              </w:rPr>
              <w:t>3</w:t>
            </w:r>
            <w:r>
              <w:rPr>
                <w:b/>
                <w:bCs/>
                <w:color w:val="auto"/>
                <w:sz w:val="24"/>
              </w:rPr>
              <w:t xml:space="preserve">  噪声现状监测结果  单位：dB（A）</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035"/>
              <w:gridCol w:w="910"/>
              <w:gridCol w:w="1103"/>
              <w:gridCol w:w="927"/>
              <w:gridCol w:w="1245"/>
              <w:gridCol w:w="960"/>
              <w:gridCol w:w="6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868" w:type="pct"/>
                  <w:vMerge w:val="restart"/>
                  <w:noWrap w:val="0"/>
                  <w:vAlign w:val="center"/>
                </w:tcPr>
                <w:p>
                  <w:pPr>
                    <w:spacing w:line="320" w:lineRule="exact"/>
                    <w:jc w:val="center"/>
                    <w:rPr>
                      <w:b/>
                      <w:color w:val="auto"/>
                      <w:szCs w:val="21"/>
                    </w:rPr>
                  </w:pPr>
                  <w:r>
                    <w:rPr>
                      <w:b/>
                      <w:color w:val="auto"/>
                      <w:szCs w:val="21"/>
                    </w:rPr>
                    <w:t>监测点位</w:t>
                  </w:r>
                </w:p>
              </w:tc>
              <w:tc>
                <w:tcPr>
                  <w:tcW w:w="1170" w:type="pct"/>
                  <w:gridSpan w:val="2"/>
                  <w:noWrap w:val="0"/>
                  <w:vAlign w:val="center"/>
                </w:tcPr>
                <w:p>
                  <w:pPr>
                    <w:spacing w:line="320" w:lineRule="exact"/>
                    <w:jc w:val="center"/>
                    <w:rPr>
                      <w:b/>
                      <w:color w:val="auto"/>
                      <w:szCs w:val="21"/>
                    </w:rPr>
                  </w:pPr>
                  <w:r>
                    <w:rPr>
                      <w:b/>
                      <w:color w:val="auto"/>
                      <w:szCs w:val="21"/>
                    </w:rPr>
                    <w:t>2021年</w:t>
                  </w:r>
                  <w:r>
                    <w:rPr>
                      <w:rFonts w:hint="eastAsia"/>
                      <w:b/>
                      <w:color w:val="auto"/>
                      <w:szCs w:val="21"/>
                      <w:lang w:val="en-US" w:eastAsia="zh-CN"/>
                    </w:rPr>
                    <w:t>12</w:t>
                  </w:r>
                  <w:r>
                    <w:rPr>
                      <w:b/>
                      <w:color w:val="auto"/>
                      <w:szCs w:val="21"/>
                    </w:rPr>
                    <w:t>月</w:t>
                  </w:r>
                  <w:r>
                    <w:rPr>
                      <w:rFonts w:hint="eastAsia"/>
                      <w:b/>
                      <w:color w:val="auto"/>
                      <w:szCs w:val="21"/>
                      <w:lang w:val="en-US" w:eastAsia="zh-CN"/>
                    </w:rPr>
                    <w:t>5</w:t>
                  </w:r>
                  <w:r>
                    <w:rPr>
                      <w:b/>
                      <w:color w:val="auto"/>
                      <w:szCs w:val="21"/>
                    </w:rPr>
                    <w:t>日</w:t>
                  </w:r>
                </w:p>
              </w:tc>
              <w:tc>
                <w:tcPr>
                  <w:tcW w:w="1222" w:type="pct"/>
                  <w:gridSpan w:val="2"/>
                  <w:noWrap w:val="0"/>
                  <w:vAlign w:val="center"/>
                </w:tcPr>
                <w:p>
                  <w:pPr>
                    <w:spacing w:line="320" w:lineRule="exact"/>
                    <w:jc w:val="center"/>
                    <w:rPr>
                      <w:rFonts w:hint="default" w:eastAsia="宋体"/>
                      <w:b/>
                      <w:color w:val="auto"/>
                      <w:szCs w:val="21"/>
                      <w:lang w:val="en-US" w:eastAsia="zh-CN"/>
                    </w:rPr>
                  </w:pPr>
                  <w:r>
                    <w:rPr>
                      <w:b/>
                      <w:color w:val="auto"/>
                      <w:szCs w:val="21"/>
                    </w:rPr>
                    <w:t>2021年</w:t>
                  </w:r>
                  <w:r>
                    <w:rPr>
                      <w:rFonts w:hint="eastAsia"/>
                      <w:b/>
                      <w:color w:val="auto"/>
                      <w:szCs w:val="21"/>
                      <w:lang w:val="en-US" w:eastAsia="zh-CN"/>
                    </w:rPr>
                    <w:t>12</w:t>
                  </w:r>
                  <w:r>
                    <w:rPr>
                      <w:b/>
                      <w:color w:val="auto"/>
                      <w:szCs w:val="21"/>
                    </w:rPr>
                    <w:t>月</w:t>
                  </w:r>
                  <w:r>
                    <w:rPr>
                      <w:rFonts w:hint="eastAsia"/>
                      <w:b/>
                      <w:color w:val="auto"/>
                      <w:szCs w:val="21"/>
                      <w:lang w:val="en-US" w:eastAsia="zh-CN"/>
                    </w:rPr>
                    <w:t>6</w:t>
                  </w:r>
                  <w:r>
                    <w:rPr>
                      <w:b/>
                      <w:color w:val="auto"/>
                      <w:szCs w:val="21"/>
                    </w:rPr>
                    <w:t>日</w:t>
                  </w:r>
                </w:p>
              </w:tc>
              <w:tc>
                <w:tcPr>
                  <w:tcW w:w="1327" w:type="pct"/>
                  <w:gridSpan w:val="2"/>
                  <w:noWrap w:val="0"/>
                  <w:vAlign w:val="center"/>
                </w:tcPr>
                <w:p>
                  <w:pPr>
                    <w:spacing w:line="320" w:lineRule="exact"/>
                    <w:jc w:val="center"/>
                    <w:rPr>
                      <w:b/>
                      <w:color w:val="auto"/>
                      <w:szCs w:val="21"/>
                    </w:rPr>
                  </w:pPr>
                  <w:r>
                    <w:rPr>
                      <w:b/>
                      <w:color w:val="auto"/>
                      <w:szCs w:val="21"/>
                    </w:rPr>
                    <w:t>执行标准</w:t>
                  </w:r>
                </w:p>
              </w:tc>
              <w:tc>
                <w:tcPr>
                  <w:tcW w:w="411" w:type="pct"/>
                  <w:vMerge w:val="restart"/>
                  <w:noWrap w:val="0"/>
                  <w:vAlign w:val="center"/>
                </w:tcPr>
                <w:p>
                  <w:pPr>
                    <w:spacing w:line="320" w:lineRule="exact"/>
                    <w:jc w:val="center"/>
                    <w:rPr>
                      <w:rFonts w:hint="eastAsia"/>
                      <w:b/>
                      <w:color w:val="auto"/>
                      <w:szCs w:val="21"/>
                    </w:rPr>
                  </w:pPr>
                  <w:r>
                    <w:rPr>
                      <w:b/>
                      <w:color w:val="auto"/>
                      <w:szCs w:val="21"/>
                    </w:rPr>
                    <w:t>是否</w:t>
                  </w:r>
                  <w:r>
                    <w:rPr>
                      <w:rFonts w:hint="eastAsia"/>
                      <w:b/>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868" w:type="pct"/>
                  <w:vMerge w:val="continue"/>
                  <w:noWrap w:val="0"/>
                  <w:vAlign w:val="center"/>
                </w:tcPr>
                <w:p>
                  <w:pPr>
                    <w:spacing w:line="320" w:lineRule="exact"/>
                    <w:jc w:val="center"/>
                    <w:rPr>
                      <w:color w:val="auto"/>
                    </w:rPr>
                  </w:pPr>
                </w:p>
              </w:tc>
              <w:tc>
                <w:tcPr>
                  <w:tcW w:w="623" w:type="pct"/>
                  <w:noWrap w:val="0"/>
                  <w:vAlign w:val="center"/>
                </w:tcPr>
                <w:p>
                  <w:pPr>
                    <w:spacing w:line="320" w:lineRule="exact"/>
                    <w:jc w:val="center"/>
                    <w:rPr>
                      <w:rFonts w:hint="eastAsia"/>
                      <w:b/>
                      <w:color w:val="auto"/>
                      <w:szCs w:val="21"/>
                    </w:rPr>
                  </w:pPr>
                  <w:r>
                    <w:rPr>
                      <w:rFonts w:hint="eastAsia"/>
                      <w:b/>
                      <w:color w:val="auto"/>
                      <w:szCs w:val="21"/>
                    </w:rPr>
                    <w:t>昼间</w:t>
                  </w:r>
                </w:p>
              </w:tc>
              <w:tc>
                <w:tcPr>
                  <w:tcW w:w="547" w:type="pct"/>
                  <w:noWrap w:val="0"/>
                  <w:vAlign w:val="center"/>
                </w:tcPr>
                <w:p>
                  <w:pPr>
                    <w:spacing w:line="320" w:lineRule="exact"/>
                    <w:jc w:val="center"/>
                    <w:rPr>
                      <w:rFonts w:hint="eastAsia"/>
                      <w:b/>
                      <w:color w:val="auto"/>
                      <w:szCs w:val="21"/>
                    </w:rPr>
                  </w:pPr>
                  <w:r>
                    <w:rPr>
                      <w:rFonts w:hint="eastAsia"/>
                      <w:b/>
                      <w:color w:val="auto"/>
                      <w:szCs w:val="21"/>
                    </w:rPr>
                    <w:t>夜间</w:t>
                  </w:r>
                </w:p>
              </w:tc>
              <w:tc>
                <w:tcPr>
                  <w:tcW w:w="663" w:type="pct"/>
                  <w:noWrap w:val="0"/>
                  <w:vAlign w:val="center"/>
                </w:tcPr>
                <w:p>
                  <w:pPr>
                    <w:spacing w:line="320" w:lineRule="exact"/>
                    <w:jc w:val="center"/>
                    <w:rPr>
                      <w:b/>
                      <w:color w:val="auto"/>
                      <w:szCs w:val="21"/>
                    </w:rPr>
                  </w:pPr>
                  <w:r>
                    <w:rPr>
                      <w:rFonts w:hint="eastAsia"/>
                      <w:b/>
                      <w:color w:val="auto"/>
                      <w:szCs w:val="21"/>
                    </w:rPr>
                    <w:t>昼间</w:t>
                  </w:r>
                </w:p>
              </w:tc>
              <w:tc>
                <w:tcPr>
                  <w:tcW w:w="558" w:type="pct"/>
                  <w:noWrap w:val="0"/>
                  <w:vAlign w:val="center"/>
                </w:tcPr>
                <w:p>
                  <w:pPr>
                    <w:spacing w:line="320" w:lineRule="exact"/>
                    <w:jc w:val="center"/>
                    <w:rPr>
                      <w:b/>
                      <w:color w:val="auto"/>
                      <w:szCs w:val="21"/>
                    </w:rPr>
                  </w:pPr>
                  <w:r>
                    <w:rPr>
                      <w:rFonts w:hint="eastAsia"/>
                      <w:b/>
                      <w:color w:val="auto"/>
                      <w:szCs w:val="21"/>
                    </w:rPr>
                    <w:t>夜间</w:t>
                  </w:r>
                </w:p>
              </w:tc>
              <w:tc>
                <w:tcPr>
                  <w:tcW w:w="749" w:type="pct"/>
                  <w:noWrap w:val="0"/>
                  <w:vAlign w:val="center"/>
                </w:tcPr>
                <w:p>
                  <w:pPr>
                    <w:spacing w:line="320" w:lineRule="exact"/>
                    <w:jc w:val="center"/>
                    <w:rPr>
                      <w:rFonts w:hint="eastAsia"/>
                      <w:b/>
                      <w:color w:val="auto"/>
                      <w:szCs w:val="21"/>
                    </w:rPr>
                  </w:pPr>
                  <w:r>
                    <w:rPr>
                      <w:rFonts w:hint="eastAsia"/>
                      <w:b/>
                      <w:color w:val="auto"/>
                      <w:szCs w:val="21"/>
                    </w:rPr>
                    <w:t>昼间</w:t>
                  </w:r>
                </w:p>
              </w:tc>
              <w:tc>
                <w:tcPr>
                  <w:tcW w:w="577" w:type="pct"/>
                  <w:noWrap w:val="0"/>
                  <w:vAlign w:val="center"/>
                </w:tcPr>
                <w:p>
                  <w:pPr>
                    <w:spacing w:line="320" w:lineRule="exact"/>
                    <w:jc w:val="center"/>
                    <w:rPr>
                      <w:rFonts w:hint="eastAsia"/>
                      <w:b/>
                      <w:color w:val="auto"/>
                      <w:szCs w:val="21"/>
                    </w:rPr>
                  </w:pPr>
                  <w:r>
                    <w:rPr>
                      <w:rFonts w:hint="eastAsia"/>
                      <w:b/>
                      <w:color w:val="auto"/>
                      <w:szCs w:val="21"/>
                    </w:rPr>
                    <w:t>夜间</w:t>
                  </w:r>
                </w:p>
              </w:tc>
              <w:tc>
                <w:tcPr>
                  <w:tcW w:w="411" w:type="pct"/>
                  <w:vMerge w:val="continue"/>
                  <w:noWrap w:val="0"/>
                  <w:vAlign w:val="center"/>
                </w:tcPr>
                <w:p>
                  <w:pPr>
                    <w:spacing w:line="320" w:lineRule="exact"/>
                    <w:jc w:val="center"/>
                    <w:rPr>
                      <w:b/>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noWrap w:val="0"/>
                  <w:vAlign w:val="center"/>
                </w:tcPr>
                <w:p>
                  <w:pPr>
                    <w:spacing w:line="320" w:lineRule="exact"/>
                    <w:jc w:val="center"/>
                    <w:rPr>
                      <w:color w:val="auto"/>
                      <w:szCs w:val="21"/>
                    </w:rPr>
                  </w:pPr>
                  <w:r>
                    <w:rPr>
                      <w:color w:val="auto"/>
                      <w:szCs w:val="21"/>
                    </w:rPr>
                    <w:t>N1（</w:t>
                  </w:r>
                  <w:r>
                    <w:rPr>
                      <w:rFonts w:hint="eastAsia"/>
                      <w:color w:val="auto"/>
                      <w:szCs w:val="21"/>
                      <w:lang w:eastAsia="zh-CN"/>
                    </w:rPr>
                    <w:t>西</w:t>
                  </w:r>
                  <w:r>
                    <w:rPr>
                      <w:color w:val="auto"/>
                      <w:szCs w:val="21"/>
                    </w:rPr>
                    <w:t>厂界）</w:t>
                  </w:r>
                </w:p>
              </w:tc>
              <w:tc>
                <w:tcPr>
                  <w:tcW w:w="623"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57</w:t>
                  </w:r>
                </w:p>
              </w:tc>
              <w:tc>
                <w:tcPr>
                  <w:tcW w:w="547"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47</w:t>
                  </w:r>
                </w:p>
              </w:tc>
              <w:tc>
                <w:tcPr>
                  <w:tcW w:w="663"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57</w:t>
                  </w:r>
                </w:p>
              </w:tc>
              <w:tc>
                <w:tcPr>
                  <w:tcW w:w="558"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47</w:t>
                  </w:r>
                </w:p>
              </w:tc>
              <w:tc>
                <w:tcPr>
                  <w:tcW w:w="749" w:type="pct"/>
                  <w:vMerge w:val="restart"/>
                  <w:noWrap w:val="0"/>
                  <w:vAlign w:val="center"/>
                </w:tcPr>
                <w:p>
                  <w:pPr>
                    <w:spacing w:line="320" w:lineRule="exact"/>
                    <w:jc w:val="center"/>
                    <w:rPr>
                      <w:color w:val="auto"/>
                      <w:szCs w:val="21"/>
                    </w:rPr>
                  </w:pPr>
                  <w:r>
                    <w:rPr>
                      <w:rFonts w:hint="eastAsia"/>
                      <w:color w:val="auto"/>
                      <w:szCs w:val="21"/>
                    </w:rPr>
                    <w:t>60</w:t>
                  </w:r>
                </w:p>
              </w:tc>
              <w:tc>
                <w:tcPr>
                  <w:tcW w:w="577" w:type="pct"/>
                  <w:vMerge w:val="restart"/>
                  <w:noWrap w:val="0"/>
                  <w:vAlign w:val="center"/>
                </w:tcPr>
                <w:p>
                  <w:pPr>
                    <w:spacing w:line="320" w:lineRule="exact"/>
                    <w:jc w:val="center"/>
                    <w:rPr>
                      <w:color w:val="auto"/>
                      <w:szCs w:val="21"/>
                    </w:rPr>
                  </w:pPr>
                  <w:r>
                    <w:rPr>
                      <w:rFonts w:hint="eastAsia"/>
                      <w:color w:val="auto"/>
                      <w:szCs w:val="21"/>
                    </w:rPr>
                    <w:t>50</w:t>
                  </w:r>
                </w:p>
              </w:tc>
              <w:tc>
                <w:tcPr>
                  <w:tcW w:w="411" w:type="pct"/>
                  <w:noWrap w:val="0"/>
                  <w:vAlign w:val="center"/>
                </w:tcPr>
                <w:p>
                  <w:pPr>
                    <w:spacing w:line="320" w:lineRule="exact"/>
                    <w:jc w:val="center"/>
                    <w:rPr>
                      <w:rFonts w:hint="eastAsia" w:eastAsia="宋体"/>
                      <w:color w:val="auto"/>
                      <w:szCs w:val="21"/>
                      <w:lang w:eastAsia="zh-CN"/>
                    </w:rPr>
                  </w:pPr>
                  <w:r>
                    <w:rPr>
                      <w:rFonts w:hint="eastAsia"/>
                      <w:color w:val="auto"/>
                      <w:szCs w:val="21"/>
                      <w:lang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868" w:type="pct"/>
                  <w:noWrap w:val="0"/>
                  <w:vAlign w:val="center"/>
                </w:tcPr>
                <w:p>
                  <w:pPr>
                    <w:spacing w:line="320" w:lineRule="exact"/>
                    <w:jc w:val="center"/>
                    <w:rPr>
                      <w:color w:val="auto"/>
                      <w:szCs w:val="21"/>
                    </w:rPr>
                  </w:pPr>
                  <w:r>
                    <w:rPr>
                      <w:color w:val="auto"/>
                      <w:szCs w:val="21"/>
                    </w:rPr>
                    <w:t>N2（南厂界）</w:t>
                  </w:r>
                </w:p>
              </w:tc>
              <w:tc>
                <w:tcPr>
                  <w:tcW w:w="623"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56</w:t>
                  </w:r>
                </w:p>
              </w:tc>
              <w:tc>
                <w:tcPr>
                  <w:tcW w:w="547"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46</w:t>
                  </w:r>
                </w:p>
              </w:tc>
              <w:tc>
                <w:tcPr>
                  <w:tcW w:w="663"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57</w:t>
                  </w:r>
                </w:p>
              </w:tc>
              <w:tc>
                <w:tcPr>
                  <w:tcW w:w="558"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47</w:t>
                  </w:r>
                </w:p>
              </w:tc>
              <w:tc>
                <w:tcPr>
                  <w:tcW w:w="749" w:type="pct"/>
                  <w:vMerge w:val="continue"/>
                  <w:noWrap w:val="0"/>
                  <w:vAlign w:val="center"/>
                </w:tcPr>
                <w:p>
                  <w:pPr>
                    <w:jc w:val="center"/>
                    <w:rPr>
                      <w:color w:val="auto"/>
                      <w:szCs w:val="21"/>
                    </w:rPr>
                  </w:pPr>
                </w:p>
              </w:tc>
              <w:tc>
                <w:tcPr>
                  <w:tcW w:w="577" w:type="pct"/>
                  <w:vMerge w:val="continue"/>
                  <w:noWrap w:val="0"/>
                  <w:vAlign w:val="center"/>
                </w:tcPr>
                <w:p>
                  <w:pPr>
                    <w:jc w:val="center"/>
                    <w:rPr>
                      <w:color w:val="auto"/>
                      <w:szCs w:val="21"/>
                    </w:rPr>
                  </w:pPr>
                </w:p>
              </w:tc>
              <w:tc>
                <w:tcPr>
                  <w:tcW w:w="411" w:type="pct"/>
                  <w:noWrap w:val="0"/>
                  <w:vAlign w:val="center"/>
                </w:tcPr>
                <w:p>
                  <w:pPr>
                    <w:spacing w:line="320" w:lineRule="exact"/>
                    <w:jc w:val="center"/>
                    <w:rPr>
                      <w:rFonts w:hint="eastAsia"/>
                      <w:color w:val="auto"/>
                      <w:szCs w:val="21"/>
                    </w:rPr>
                  </w:pPr>
                  <w:r>
                    <w:rPr>
                      <w:rFonts w:hint="eastAsia"/>
                      <w:color w:val="auto"/>
                      <w:szCs w:val="21"/>
                      <w:lang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noWrap w:val="0"/>
                  <w:vAlign w:val="center"/>
                </w:tcPr>
                <w:p>
                  <w:pPr>
                    <w:spacing w:line="320" w:lineRule="exact"/>
                    <w:jc w:val="center"/>
                    <w:rPr>
                      <w:color w:val="auto"/>
                      <w:szCs w:val="21"/>
                    </w:rPr>
                  </w:pPr>
                  <w:r>
                    <w:rPr>
                      <w:color w:val="auto"/>
                      <w:szCs w:val="21"/>
                    </w:rPr>
                    <w:t>N3（</w:t>
                  </w:r>
                  <w:r>
                    <w:rPr>
                      <w:rFonts w:hint="eastAsia"/>
                      <w:color w:val="auto"/>
                      <w:szCs w:val="21"/>
                      <w:lang w:eastAsia="zh-CN"/>
                    </w:rPr>
                    <w:t>东</w:t>
                  </w:r>
                  <w:r>
                    <w:rPr>
                      <w:color w:val="auto"/>
                      <w:szCs w:val="21"/>
                    </w:rPr>
                    <w:t>厂界）</w:t>
                  </w:r>
                </w:p>
              </w:tc>
              <w:tc>
                <w:tcPr>
                  <w:tcW w:w="623"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56</w:t>
                  </w:r>
                </w:p>
              </w:tc>
              <w:tc>
                <w:tcPr>
                  <w:tcW w:w="547"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46</w:t>
                  </w:r>
                </w:p>
              </w:tc>
              <w:tc>
                <w:tcPr>
                  <w:tcW w:w="663"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56</w:t>
                  </w:r>
                </w:p>
              </w:tc>
              <w:tc>
                <w:tcPr>
                  <w:tcW w:w="558"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46</w:t>
                  </w:r>
                </w:p>
              </w:tc>
              <w:tc>
                <w:tcPr>
                  <w:tcW w:w="749" w:type="pct"/>
                  <w:vMerge w:val="continue"/>
                  <w:noWrap w:val="0"/>
                  <w:vAlign w:val="center"/>
                </w:tcPr>
                <w:p>
                  <w:pPr>
                    <w:jc w:val="center"/>
                    <w:rPr>
                      <w:color w:val="auto"/>
                      <w:szCs w:val="21"/>
                    </w:rPr>
                  </w:pPr>
                </w:p>
              </w:tc>
              <w:tc>
                <w:tcPr>
                  <w:tcW w:w="577" w:type="pct"/>
                  <w:vMerge w:val="continue"/>
                  <w:noWrap w:val="0"/>
                  <w:vAlign w:val="center"/>
                </w:tcPr>
                <w:p>
                  <w:pPr>
                    <w:jc w:val="center"/>
                    <w:rPr>
                      <w:color w:val="auto"/>
                      <w:szCs w:val="21"/>
                    </w:rPr>
                  </w:pPr>
                </w:p>
              </w:tc>
              <w:tc>
                <w:tcPr>
                  <w:tcW w:w="411" w:type="pct"/>
                  <w:noWrap w:val="0"/>
                  <w:vAlign w:val="center"/>
                </w:tcPr>
                <w:p>
                  <w:pPr>
                    <w:spacing w:line="320" w:lineRule="exact"/>
                    <w:jc w:val="center"/>
                    <w:rPr>
                      <w:rFonts w:hint="eastAsia"/>
                      <w:color w:val="auto"/>
                      <w:szCs w:val="21"/>
                    </w:rPr>
                  </w:pPr>
                  <w:r>
                    <w:rPr>
                      <w:rFonts w:hint="eastAsia"/>
                      <w:color w:val="auto"/>
                      <w:szCs w:val="21"/>
                      <w:lang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noWrap w:val="0"/>
                  <w:vAlign w:val="center"/>
                </w:tcPr>
                <w:p>
                  <w:pPr>
                    <w:spacing w:line="320" w:lineRule="exact"/>
                    <w:jc w:val="center"/>
                    <w:rPr>
                      <w:color w:val="auto"/>
                      <w:szCs w:val="21"/>
                    </w:rPr>
                  </w:pPr>
                  <w:r>
                    <w:rPr>
                      <w:color w:val="auto"/>
                      <w:szCs w:val="21"/>
                    </w:rPr>
                    <w:t>N4（北厂界）</w:t>
                  </w:r>
                </w:p>
              </w:tc>
              <w:tc>
                <w:tcPr>
                  <w:tcW w:w="623"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57</w:t>
                  </w:r>
                </w:p>
              </w:tc>
              <w:tc>
                <w:tcPr>
                  <w:tcW w:w="547"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46</w:t>
                  </w:r>
                </w:p>
              </w:tc>
              <w:tc>
                <w:tcPr>
                  <w:tcW w:w="663"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57</w:t>
                  </w:r>
                </w:p>
              </w:tc>
              <w:tc>
                <w:tcPr>
                  <w:tcW w:w="558"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46</w:t>
                  </w:r>
                </w:p>
              </w:tc>
              <w:tc>
                <w:tcPr>
                  <w:tcW w:w="749" w:type="pct"/>
                  <w:vMerge w:val="continue"/>
                  <w:noWrap w:val="0"/>
                  <w:vAlign w:val="center"/>
                </w:tcPr>
                <w:p>
                  <w:pPr>
                    <w:jc w:val="center"/>
                    <w:rPr>
                      <w:color w:val="auto"/>
                      <w:szCs w:val="21"/>
                    </w:rPr>
                  </w:pPr>
                </w:p>
              </w:tc>
              <w:tc>
                <w:tcPr>
                  <w:tcW w:w="577" w:type="pct"/>
                  <w:vMerge w:val="continue"/>
                  <w:noWrap w:val="0"/>
                  <w:vAlign w:val="center"/>
                </w:tcPr>
                <w:p>
                  <w:pPr>
                    <w:jc w:val="center"/>
                    <w:rPr>
                      <w:color w:val="auto"/>
                      <w:szCs w:val="21"/>
                    </w:rPr>
                  </w:pPr>
                </w:p>
              </w:tc>
              <w:tc>
                <w:tcPr>
                  <w:tcW w:w="411" w:type="pct"/>
                  <w:noWrap w:val="0"/>
                  <w:vAlign w:val="center"/>
                </w:tcPr>
                <w:p>
                  <w:pPr>
                    <w:spacing w:line="320" w:lineRule="exact"/>
                    <w:jc w:val="center"/>
                    <w:rPr>
                      <w:rFonts w:hint="eastAsia"/>
                      <w:color w:val="auto"/>
                      <w:szCs w:val="21"/>
                    </w:rPr>
                  </w:pPr>
                  <w:r>
                    <w:rPr>
                      <w:rFonts w:hint="eastAsia"/>
                      <w:color w:val="auto"/>
                      <w:szCs w:val="21"/>
                      <w:lang w:eastAsia="zh-CN"/>
                    </w:rPr>
                    <w:t>是</w:t>
                  </w:r>
                </w:p>
              </w:tc>
            </w:tr>
          </w:tbl>
          <w:p>
            <w:pPr>
              <w:adjustRightInd w:val="0"/>
              <w:snapToGrid w:val="0"/>
              <w:spacing w:before="120" w:beforeLines="50" w:line="360" w:lineRule="auto"/>
              <w:ind w:firstLine="470" w:firstLineChars="196"/>
              <w:rPr>
                <w:rFonts w:hint="eastAsia"/>
                <w:color w:val="auto"/>
                <w:sz w:val="24"/>
              </w:rPr>
            </w:pPr>
            <w:r>
              <w:rPr>
                <w:rFonts w:hint="eastAsia"/>
                <w:color w:val="auto"/>
                <w:sz w:val="24"/>
              </w:rPr>
              <w:t>监测结果表明，项目所在区域声环境质量现状满足《声环境质量标准》（GB3096-2008）中的2类标准，声环境现状良好。</w:t>
            </w:r>
          </w:p>
          <w:p>
            <w:pPr>
              <w:adjustRightInd w:val="0"/>
              <w:snapToGrid w:val="0"/>
              <w:spacing w:before="120" w:beforeLines="50" w:line="360" w:lineRule="auto"/>
              <w:ind w:firstLine="470" w:firstLineChars="196"/>
              <w:rPr>
                <w:rFonts w:hint="eastAsia"/>
                <w:color w:val="auto"/>
                <w:sz w:val="24"/>
              </w:rPr>
            </w:pPr>
          </w:p>
          <w:p>
            <w:pPr>
              <w:adjustRightInd w:val="0"/>
              <w:snapToGrid w:val="0"/>
              <w:spacing w:before="120" w:beforeLines="50" w:line="360" w:lineRule="auto"/>
              <w:ind w:firstLine="470" w:firstLineChars="196"/>
              <w:rPr>
                <w:rFonts w:hint="eastAsia"/>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65" w:type="dxa"/>
            <w:noWrap w:val="0"/>
            <w:vAlign w:val="center"/>
          </w:tcPr>
          <w:p>
            <w:pPr>
              <w:adjustRightInd w:val="0"/>
              <w:snapToGrid w:val="0"/>
              <w:jc w:val="center"/>
              <w:rPr>
                <w:color w:val="0000FF"/>
                <w:kern w:val="0"/>
                <w:sz w:val="24"/>
              </w:rPr>
            </w:pPr>
            <w:r>
              <w:rPr>
                <w:kern w:val="0"/>
                <w:sz w:val="24"/>
              </w:rPr>
              <w:t>环境保护目标</w:t>
            </w:r>
          </w:p>
        </w:tc>
        <w:tc>
          <w:tcPr>
            <w:tcW w:w="8525" w:type="dxa"/>
            <w:noWrap w:val="0"/>
            <w:vAlign w:val="center"/>
          </w:tcPr>
          <w:p>
            <w:pPr>
              <w:spacing w:line="360" w:lineRule="auto"/>
              <w:ind w:firstLine="480" w:firstLineChars="200"/>
              <w:rPr>
                <w:kern w:val="0"/>
                <w:sz w:val="24"/>
              </w:rPr>
            </w:pPr>
            <w:r>
              <w:rPr>
                <w:kern w:val="0"/>
                <w:sz w:val="24"/>
              </w:rPr>
              <w:t>项目位于</w:t>
            </w:r>
            <w:r>
              <w:rPr>
                <w:rFonts w:hint="eastAsia"/>
                <w:kern w:val="0"/>
                <w:sz w:val="24"/>
              </w:rPr>
              <w:t>金坛经济开发区华城路1668号国际工业城5号楼北楼四层</w:t>
            </w:r>
            <w:r>
              <w:rPr>
                <w:kern w:val="0"/>
                <w:sz w:val="24"/>
              </w:rPr>
              <w:t>，</w:t>
            </w:r>
            <w:r>
              <w:rPr>
                <w:rFonts w:hint="eastAsia"/>
                <w:kern w:val="0"/>
                <w:sz w:val="24"/>
              </w:rPr>
              <w:t>根据项目周边情况，确定建设项目主要环境保护目标见表3-</w:t>
            </w:r>
            <w:r>
              <w:rPr>
                <w:rFonts w:hint="eastAsia"/>
                <w:kern w:val="0"/>
                <w:sz w:val="24"/>
                <w:lang w:val="en-US" w:eastAsia="zh-CN"/>
              </w:rPr>
              <w:t>4</w:t>
            </w:r>
            <w:r>
              <w:rPr>
                <w:rFonts w:hint="eastAsia"/>
                <w:kern w:val="0"/>
                <w:sz w:val="24"/>
              </w:rPr>
              <w:t>。</w:t>
            </w:r>
          </w:p>
          <w:p>
            <w:pPr>
              <w:tabs>
                <w:tab w:val="left" w:pos="6510"/>
              </w:tabs>
              <w:jc w:val="center"/>
              <w:rPr>
                <w:b/>
                <w:bCs/>
                <w:sz w:val="24"/>
              </w:rPr>
            </w:pPr>
            <w:r>
              <w:rPr>
                <w:b/>
                <w:bCs/>
                <w:sz w:val="24"/>
              </w:rPr>
              <w:t>表3-</w:t>
            </w:r>
            <w:r>
              <w:rPr>
                <w:rFonts w:hint="eastAsia"/>
                <w:b/>
                <w:bCs/>
                <w:sz w:val="24"/>
                <w:lang w:val="en-US" w:eastAsia="zh-CN"/>
              </w:rPr>
              <w:t>4</w:t>
            </w:r>
            <w:r>
              <w:rPr>
                <w:b/>
                <w:bCs/>
                <w:sz w:val="24"/>
              </w:rPr>
              <w:t xml:space="preserve"> </w:t>
            </w:r>
            <w:r>
              <w:rPr>
                <w:rFonts w:hint="eastAsia"/>
                <w:b/>
                <w:bCs/>
                <w:sz w:val="24"/>
              </w:rPr>
              <w:t xml:space="preserve"> </w:t>
            </w:r>
            <w:r>
              <w:rPr>
                <w:b/>
                <w:bCs/>
                <w:sz w:val="24"/>
              </w:rPr>
              <w:t>主要环境保护目标一览表</w:t>
            </w:r>
          </w:p>
          <w:tbl>
            <w:tblPr>
              <w:tblStyle w:val="23"/>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769"/>
              <w:gridCol w:w="641"/>
              <w:gridCol w:w="676"/>
              <w:gridCol w:w="1585"/>
              <w:gridCol w:w="1113"/>
              <w:gridCol w:w="2283"/>
              <w:gridCol w:w="540"/>
              <w:gridCol w:w="6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63" w:type="pct"/>
                  <w:vMerge w:val="restart"/>
                  <w:noWrap w:val="0"/>
                  <w:tcMar>
                    <w:top w:w="0" w:type="dxa"/>
                    <w:left w:w="0" w:type="dxa"/>
                    <w:bottom w:w="0" w:type="dxa"/>
                    <w:right w:w="0" w:type="dxa"/>
                  </w:tcMar>
                  <w:vAlign w:val="center"/>
                </w:tcPr>
                <w:p>
                  <w:pPr>
                    <w:adjustRightInd w:val="0"/>
                    <w:snapToGrid w:val="0"/>
                    <w:jc w:val="center"/>
                    <w:rPr>
                      <w:b/>
                      <w:bCs/>
                    </w:rPr>
                  </w:pPr>
                  <w:r>
                    <w:rPr>
                      <w:b/>
                      <w:bCs/>
                    </w:rPr>
                    <w:t>保护项目</w:t>
                  </w:r>
                </w:p>
              </w:tc>
              <w:tc>
                <w:tcPr>
                  <w:tcW w:w="793" w:type="pct"/>
                  <w:gridSpan w:val="2"/>
                  <w:noWrap w:val="0"/>
                  <w:tcMar>
                    <w:top w:w="0" w:type="dxa"/>
                    <w:left w:w="0" w:type="dxa"/>
                    <w:bottom w:w="0" w:type="dxa"/>
                    <w:right w:w="0" w:type="dxa"/>
                  </w:tcMar>
                  <w:vAlign w:val="center"/>
                </w:tcPr>
                <w:p>
                  <w:pPr>
                    <w:keepNext/>
                    <w:keepLines/>
                    <w:adjustRightInd w:val="0"/>
                    <w:snapToGrid w:val="0"/>
                    <w:jc w:val="center"/>
                    <w:rPr>
                      <w:b/>
                      <w:bCs/>
                    </w:rPr>
                  </w:pPr>
                  <w:r>
                    <w:rPr>
                      <w:b/>
                      <w:bCs/>
                    </w:rPr>
                    <w:t>坐标/m</w:t>
                  </w:r>
                </w:p>
              </w:tc>
              <w:tc>
                <w:tcPr>
                  <w:tcW w:w="954" w:type="pct"/>
                  <w:vMerge w:val="restart"/>
                  <w:noWrap w:val="0"/>
                  <w:tcMar>
                    <w:top w:w="0" w:type="dxa"/>
                    <w:left w:w="0" w:type="dxa"/>
                    <w:bottom w:w="0" w:type="dxa"/>
                    <w:right w:w="0" w:type="dxa"/>
                  </w:tcMar>
                  <w:vAlign w:val="center"/>
                </w:tcPr>
                <w:p>
                  <w:pPr>
                    <w:adjustRightInd w:val="0"/>
                    <w:snapToGrid w:val="0"/>
                    <w:jc w:val="center"/>
                    <w:rPr>
                      <w:b/>
                      <w:bCs/>
                    </w:rPr>
                  </w:pPr>
                  <w:r>
                    <w:rPr>
                      <w:b/>
                      <w:bCs/>
                    </w:rPr>
                    <w:t>保护对象</w:t>
                  </w:r>
                </w:p>
              </w:tc>
              <w:tc>
                <w:tcPr>
                  <w:tcW w:w="670" w:type="pct"/>
                  <w:vMerge w:val="restart"/>
                  <w:noWrap w:val="0"/>
                  <w:tcMar>
                    <w:top w:w="0" w:type="dxa"/>
                    <w:left w:w="0" w:type="dxa"/>
                    <w:bottom w:w="0" w:type="dxa"/>
                    <w:right w:w="0" w:type="dxa"/>
                  </w:tcMar>
                  <w:vAlign w:val="center"/>
                </w:tcPr>
                <w:p>
                  <w:pPr>
                    <w:adjustRightInd w:val="0"/>
                    <w:snapToGrid w:val="0"/>
                    <w:jc w:val="center"/>
                    <w:rPr>
                      <w:rFonts w:hint="eastAsia" w:eastAsia="宋体"/>
                      <w:b/>
                      <w:bCs/>
                      <w:lang w:eastAsia="zh-CN"/>
                    </w:rPr>
                  </w:pPr>
                  <w:r>
                    <w:rPr>
                      <w:b/>
                      <w:bCs/>
                    </w:rPr>
                    <w:t>保护内容</w:t>
                  </w:r>
                  <w:r>
                    <w:rPr>
                      <w:rFonts w:hint="eastAsia"/>
                      <w:b/>
                      <w:bCs/>
                      <w:lang w:eastAsia="zh-CN"/>
                    </w:rPr>
                    <w:t>及规模</w:t>
                  </w:r>
                </w:p>
              </w:tc>
              <w:tc>
                <w:tcPr>
                  <w:tcW w:w="1375" w:type="pct"/>
                  <w:vMerge w:val="restart"/>
                  <w:noWrap w:val="0"/>
                  <w:tcMar>
                    <w:top w:w="0" w:type="dxa"/>
                    <w:left w:w="0" w:type="dxa"/>
                    <w:bottom w:w="0" w:type="dxa"/>
                    <w:right w:w="0" w:type="dxa"/>
                  </w:tcMar>
                  <w:vAlign w:val="center"/>
                </w:tcPr>
                <w:p>
                  <w:pPr>
                    <w:adjustRightInd w:val="0"/>
                    <w:snapToGrid w:val="0"/>
                    <w:jc w:val="center"/>
                    <w:rPr>
                      <w:b/>
                      <w:bCs/>
                    </w:rPr>
                  </w:pPr>
                  <w:r>
                    <w:rPr>
                      <w:b/>
                      <w:bCs/>
                    </w:rPr>
                    <w:t>环境功能区</w:t>
                  </w:r>
                </w:p>
              </w:tc>
              <w:tc>
                <w:tcPr>
                  <w:tcW w:w="325" w:type="pct"/>
                  <w:vMerge w:val="restart"/>
                  <w:noWrap w:val="0"/>
                  <w:tcMar>
                    <w:top w:w="0" w:type="dxa"/>
                    <w:left w:w="0" w:type="dxa"/>
                    <w:bottom w:w="0" w:type="dxa"/>
                    <w:right w:w="0" w:type="dxa"/>
                  </w:tcMar>
                  <w:vAlign w:val="center"/>
                </w:tcPr>
                <w:p>
                  <w:pPr>
                    <w:adjustRightInd w:val="0"/>
                    <w:snapToGrid w:val="0"/>
                    <w:jc w:val="center"/>
                    <w:rPr>
                      <w:b/>
                      <w:bCs/>
                    </w:rPr>
                  </w:pPr>
                  <w:r>
                    <w:rPr>
                      <w:b/>
                      <w:bCs/>
                    </w:rPr>
                    <w:t>相对厂址方位</w:t>
                  </w:r>
                </w:p>
              </w:tc>
              <w:tc>
                <w:tcPr>
                  <w:tcW w:w="418" w:type="pct"/>
                  <w:vMerge w:val="restart"/>
                  <w:noWrap w:val="0"/>
                  <w:tcMar>
                    <w:top w:w="0" w:type="dxa"/>
                    <w:left w:w="0" w:type="dxa"/>
                    <w:bottom w:w="0" w:type="dxa"/>
                    <w:right w:w="0" w:type="dxa"/>
                  </w:tcMar>
                  <w:vAlign w:val="center"/>
                </w:tcPr>
                <w:p>
                  <w:pPr>
                    <w:adjustRightInd w:val="0"/>
                    <w:snapToGrid w:val="0"/>
                    <w:jc w:val="center"/>
                    <w:rPr>
                      <w:b/>
                      <w:bCs/>
                    </w:rPr>
                  </w:pPr>
                  <w:r>
                    <w:rPr>
                      <w:b/>
                      <w:bCs/>
                    </w:rPr>
                    <w:t>相对厂址距离/m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63" w:type="pct"/>
                  <w:vMerge w:val="continue"/>
                  <w:noWrap w:val="0"/>
                  <w:tcMar>
                    <w:top w:w="0" w:type="dxa"/>
                    <w:left w:w="0" w:type="dxa"/>
                    <w:bottom w:w="0" w:type="dxa"/>
                    <w:right w:w="0" w:type="dxa"/>
                  </w:tcMar>
                  <w:vAlign w:val="center"/>
                </w:tcPr>
                <w:p>
                  <w:pPr>
                    <w:adjustRightInd w:val="0"/>
                    <w:snapToGrid w:val="0"/>
                    <w:jc w:val="center"/>
                  </w:pPr>
                </w:p>
              </w:tc>
              <w:tc>
                <w:tcPr>
                  <w:tcW w:w="386" w:type="pct"/>
                  <w:noWrap w:val="0"/>
                  <w:tcMar>
                    <w:top w:w="0" w:type="dxa"/>
                    <w:left w:w="0" w:type="dxa"/>
                    <w:bottom w:w="0" w:type="dxa"/>
                    <w:right w:w="0" w:type="dxa"/>
                  </w:tcMar>
                  <w:vAlign w:val="center"/>
                </w:tcPr>
                <w:p>
                  <w:pPr>
                    <w:keepNext/>
                    <w:keepLines/>
                    <w:adjustRightInd w:val="0"/>
                    <w:snapToGrid w:val="0"/>
                    <w:jc w:val="center"/>
                    <w:rPr>
                      <w:b/>
                      <w:bCs/>
                    </w:rPr>
                  </w:pPr>
                  <w:r>
                    <w:rPr>
                      <w:b/>
                      <w:bCs/>
                    </w:rPr>
                    <w:t>X</w:t>
                  </w:r>
                </w:p>
              </w:tc>
              <w:tc>
                <w:tcPr>
                  <w:tcW w:w="407" w:type="pct"/>
                  <w:noWrap w:val="0"/>
                  <w:tcMar>
                    <w:top w:w="0" w:type="dxa"/>
                    <w:left w:w="0" w:type="dxa"/>
                    <w:bottom w:w="0" w:type="dxa"/>
                    <w:right w:w="0" w:type="dxa"/>
                  </w:tcMar>
                  <w:vAlign w:val="center"/>
                </w:tcPr>
                <w:p>
                  <w:pPr>
                    <w:keepNext/>
                    <w:keepLines/>
                    <w:adjustRightInd w:val="0"/>
                    <w:snapToGrid w:val="0"/>
                    <w:jc w:val="center"/>
                    <w:rPr>
                      <w:b/>
                      <w:bCs/>
                    </w:rPr>
                  </w:pPr>
                  <w:r>
                    <w:rPr>
                      <w:b/>
                      <w:bCs/>
                    </w:rPr>
                    <w:t>Y</w:t>
                  </w:r>
                </w:p>
              </w:tc>
              <w:tc>
                <w:tcPr>
                  <w:tcW w:w="954" w:type="pct"/>
                  <w:vMerge w:val="continue"/>
                  <w:noWrap w:val="0"/>
                  <w:tcMar>
                    <w:top w:w="0" w:type="dxa"/>
                    <w:left w:w="0" w:type="dxa"/>
                    <w:bottom w:w="0" w:type="dxa"/>
                    <w:right w:w="0" w:type="dxa"/>
                  </w:tcMar>
                  <w:vAlign w:val="center"/>
                </w:tcPr>
                <w:p>
                  <w:pPr>
                    <w:adjustRightInd w:val="0"/>
                    <w:snapToGrid w:val="0"/>
                    <w:jc w:val="center"/>
                  </w:pPr>
                </w:p>
              </w:tc>
              <w:tc>
                <w:tcPr>
                  <w:tcW w:w="670" w:type="pct"/>
                  <w:vMerge w:val="continue"/>
                  <w:noWrap w:val="0"/>
                  <w:tcMar>
                    <w:top w:w="0" w:type="dxa"/>
                    <w:left w:w="0" w:type="dxa"/>
                    <w:bottom w:w="0" w:type="dxa"/>
                    <w:right w:w="0" w:type="dxa"/>
                  </w:tcMar>
                  <w:vAlign w:val="center"/>
                </w:tcPr>
                <w:p>
                  <w:pPr>
                    <w:adjustRightInd w:val="0"/>
                    <w:snapToGrid w:val="0"/>
                    <w:jc w:val="center"/>
                  </w:pPr>
                </w:p>
              </w:tc>
              <w:tc>
                <w:tcPr>
                  <w:tcW w:w="1375" w:type="pct"/>
                  <w:vMerge w:val="continue"/>
                  <w:noWrap w:val="0"/>
                  <w:tcMar>
                    <w:top w:w="0" w:type="dxa"/>
                    <w:left w:w="0" w:type="dxa"/>
                    <w:bottom w:w="0" w:type="dxa"/>
                    <w:right w:w="0" w:type="dxa"/>
                  </w:tcMar>
                  <w:vAlign w:val="center"/>
                </w:tcPr>
                <w:p>
                  <w:pPr>
                    <w:adjustRightInd w:val="0"/>
                    <w:snapToGrid w:val="0"/>
                    <w:jc w:val="center"/>
                  </w:pPr>
                </w:p>
              </w:tc>
              <w:tc>
                <w:tcPr>
                  <w:tcW w:w="325" w:type="pct"/>
                  <w:vMerge w:val="continue"/>
                  <w:noWrap w:val="0"/>
                  <w:tcMar>
                    <w:top w:w="0" w:type="dxa"/>
                    <w:left w:w="0" w:type="dxa"/>
                    <w:bottom w:w="0" w:type="dxa"/>
                    <w:right w:w="0" w:type="dxa"/>
                  </w:tcMar>
                  <w:vAlign w:val="center"/>
                </w:tcPr>
                <w:p>
                  <w:pPr>
                    <w:adjustRightInd w:val="0"/>
                    <w:snapToGrid w:val="0"/>
                    <w:jc w:val="center"/>
                  </w:pPr>
                </w:p>
              </w:tc>
              <w:tc>
                <w:tcPr>
                  <w:tcW w:w="418" w:type="pct"/>
                  <w:vMerge w:val="continue"/>
                  <w:noWrap w:val="0"/>
                  <w:tcMar>
                    <w:top w:w="0" w:type="dxa"/>
                    <w:left w:w="0" w:type="dxa"/>
                    <w:bottom w:w="0" w:type="dxa"/>
                    <w:right w:w="0" w:type="dxa"/>
                  </w:tcMar>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63" w:type="pct"/>
                  <w:noWrap w:val="0"/>
                  <w:tcMar>
                    <w:top w:w="0" w:type="dxa"/>
                    <w:left w:w="0" w:type="dxa"/>
                    <w:bottom w:w="0" w:type="dxa"/>
                    <w:right w:w="0" w:type="dxa"/>
                  </w:tcMar>
                  <w:vAlign w:val="center"/>
                </w:tcPr>
                <w:p>
                  <w:pPr>
                    <w:adjustRightInd w:val="0"/>
                    <w:snapToGrid w:val="0"/>
                    <w:jc w:val="center"/>
                  </w:pPr>
                  <w:r>
                    <w:rPr>
                      <w:rFonts w:hint="eastAsia"/>
                    </w:rPr>
                    <w:t>大</w:t>
                  </w:r>
                  <w:r>
                    <w:t>气环境</w:t>
                  </w:r>
                </w:p>
              </w:tc>
              <w:tc>
                <w:tcPr>
                  <w:tcW w:w="386" w:type="pct"/>
                  <w:tcBorders>
                    <w:left w:val="single" w:color="000000" w:sz="4" w:space="0"/>
                  </w:tcBorders>
                  <w:noWrap w:val="0"/>
                  <w:tcMar>
                    <w:top w:w="0" w:type="dxa"/>
                    <w:left w:w="0" w:type="dxa"/>
                    <w:bottom w:w="0" w:type="dxa"/>
                    <w:right w:w="0" w:type="dxa"/>
                  </w:tcMar>
                  <w:vAlign w:val="center"/>
                </w:tcPr>
                <w:p>
                  <w:pPr>
                    <w:adjustRightInd w:val="0"/>
                    <w:snapToGrid w:val="0"/>
                    <w:jc w:val="center"/>
                    <w:rPr>
                      <w:rFonts w:hint="default" w:eastAsia="宋体"/>
                      <w:lang w:val="en-US" w:eastAsia="zh-CN"/>
                    </w:rPr>
                  </w:pPr>
                  <w:r>
                    <w:rPr>
                      <w:rFonts w:hint="eastAsia"/>
                      <w:lang w:val="en-US" w:eastAsia="zh-CN"/>
                    </w:rPr>
                    <w:t>371</w:t>
                  </w:r>
                </w:p>
              </w:tc>
              <w:tc>
                <w:tcPr>
                  <w:tcW w:w="407" w:type="pct"/>
                  <w:tcBorders>
                    <w:left w:val="single" w:color="000000" w:sz="4" w:space="0"/>
                  </w:tcBorders>
                  <w:noWrap w:val="0"/>
                  <w:tcMar>
                    <w:top w:w="0" w:type="dxa"/>
                    <w:left w:w="0" w:type="dxa"/>
                    <w:bottom w:w="0" w:type="dxa"/>
                    <w:right w:w="0" w:type="dxa"/>
                  </w:tcMar>
                  <w:vAlign w:val="center"/>
                </w:tcPr>
                <w:p>
                  <w:pPr>
                    <w:adjustRightInd w:val="0"/>
                    <w:snapToGrid w:val="0"/>
                    <w:jc w:val="center"/>
                    <w:rPr>
                      <w:rFonts w:hint="default" w:eastAsia="宋体"/>
                      <w:lang w:val="en-US" w:eastAsia="zh-CN"/>
                    </w:rPr>
                  </w:pPr>
                  <w:r>
                    <w:rPr>
                      <w:rFonts w:hint="eastAsia"/>
                      <w:lang w:val="en-US" w:eastAsia="zh-CN"/>
                    </w:rPr>
                    <w:t>80</w:t>
                  </w:r>
                </w:p>
              </w:tc>
              <w:tc>
                <w:tcPr>
                  <w:tcW w:w="954" w:type="pct"/>
                  <w:tcBorders>
                    <w:left w:val="single" w:color="000000" w:sz="4" w:space="0"/>
                  </w:tcBorders>
                  <w:noWrap w:val="0"/>
                  <w:tcMar>
                    <w:top w:w="0" w:type="dxa"/>
                    <w:left w:w="0" w:type="dxa"/>
                    <w:bottom w:w="0" w:type="dxa"/>
                    <w:right w:w="0" w:type="dxa"/>
                  </w:tcMar>
                  <w:vAlign w:val="center"/>
                </w:tcPr>
                <w:p>
                  <w:pPr>
                    <w:adjustRightInd w:val="0"/>
                    <w:snapToGrid w:val="0"/>
                    <w:jc w:val="center"/>
                    <w:rPr>
                      <w:rFonts w:hint="default" w:eastAsia="宋体"/>
                      <w:lang w:val="en-US" w:eastAsia="zh-CN"/>
                    </w:rPr>
                  </w:pPr>
                  <w:r>
                    <w:rPr>
                      <w:rFonts w:hint="eastAsia"/>
                      <w:lang w:val="en-US" w:eastAsia="zh-CN"/>
                    </w:rPr>
                    <w:t>东南庄小区</w:t>
                  </w:r>
                </w:p>
              </w:tc>
              <w:tc>
                <w:tcPr>
                  <w:tcW w:w="670" w:type="pct"/>
                  <w:noWrap w:val="0"/>
                  <w:tcMar>
                    <w:top w:w="0" w:type="dxa"/>
                    <w:left w:w="0" w:type="dxa"/>
                    <w:bottom w:w="0" w:type="dxa"/>
                    <w:right w:w="0" w:type="dxa"/>
                  </w:tcMar>
                  <w:vAlign w:val="center"/>
                </w:tcPr>
                <w:p>
                  <w:pPr>
                    <w:adjustRightInd w:val="0"/>
                    <w:snapToGrid w:val="0"/>
                    <w:jc w:val="center"/>
                    <w:rPr>
                      <w:rFonts w:hint="default" w:eastAsia="宋体"/>
                      <w:lang w:val="en-US" w:eastAsia="zh-CN"/>
                    </w:rPr>
                  </w:pPr>
                  <w:r>
                    <w:rPr>
                      <w:rFonts w:hint="eastAsia"/>
                      <w:highlight w:val="none"/>
                    </w:rPr>
                    <w:t>人群</w:t>
                  </w:r>
                  <w:r>
                    <w:rPr>
                      <w:rFonts w:hint="eastAsia"/>
                      <w:highlight w:val="none"/>
                      <w:lang w:val="en-US" w:eastAsia="zh-CN"/>
                    </w:rPr>
                    <w:t>/576户</w:t>
                  </w:r>
                </w:p>
              </w:tc>
              <w:tc>
                <w:tcPr>
                  <w:tcW w:w="1375" w:type="pct"/>
                  <w:noWrap w:val="0"/>
                  <w:tcMar>
                    <w:top w:w="0" w:type="dxa"/>
                    <w:left w:w="0" w:type="dxa"/>
                    <w:bottom w:w="0" w:type="dxa"/>
                    <w:right w:w="0" w:type="dxa"/>
                  </w:tcMar>
                  <w:vAlign w:val="center"/>
                </w:tcPr>
                <w:p>
                  <w:pPr>
                    <w:adjustRightInd w:val="0"/>
                    <w:snapToGrid w:val="0"/>
                    <w:jc w:val="center"/>
                  </w:pPr>
                  <w:r>
                    <w:t>《环境空气质量标准》</w:t>
                  </w:r>
                </w:p>
                <w:p>
                  <w:pPr>
                    <w:adjustRightInd w:val="0"/>
                    <w:snapToGrid w:val="0"/>
                    <w:jc w:val="center"/>
                  </w:pPr>
                  <w:r>
                    <w:t>（GB3095-2012）中二级标准</w:t>
                  </w:r>
                </w:p>
              </w:tc>
              <w:tc>
                <w:tcPr>
                  <w:tcW w:w="325" w:type="pct"/>
                  <w:noWrap w:val="0"/>
                  <w:tcMar>
                    <w:top w:w="0" w:type="dxa"/>
                    <w:left w:w="0" w:type="dxa"/>
                    <w:bottom w:w="0" w:type="dxa"/>
                    <w:right w:w="0" w:type="dxa"/>
                  </w:tcMar>
                  <w:vAlign w:val="center"/>
                </w:tcPr>
                <w:p>
                  <w:pPr>
                    <w:adjustRightInd w:val="0"/>
                    <w:snapToGrid w:val="0"/>
                    <w:jc w:val="center"/>
                    <w:rPr>
                      <w:rFonts w:hint="eastAsia" w:eastAsia="宋体"/>
                      <w:lang w:eastAsia="zh-CN"/>
                    </w:rPr>
                  </w:pPr>
                  <w:r>
                    <w:rPr>
                      <w:rFonts w:hint="eastAsia"/>
                      <w:lang w:val="en-US" w:eastAsia="zh-CN"/>
                    </w:rPr>
                    <w:t>NE</w:t>
                  </w:r>
                </w:p>
              </w:tc>
              <w:tc>
                <w:tcPr>
                  <w:tcW w:w="418" w:type="pct"/>
                  <w:noWrap w:val="0"/>
                  <w:tcMar>
                    <w:top w:w="0" w:type="dxa"/>
                    <w:left w:w="0" w:type="dxa"/>
                    <w:bottom w:w="0" w:type="dxa"/>
                    <w:right w:w="0" w:type="dxa"/>
                  </w:tcMar>
                  <w:vAlign w:val="center"/>
                </w:tcPr>
                <w:p>
                  <w:pPr>
                    <w:adjustRightInd w:val="0"/>
                    <w:snapToGrid w:val="0"/>
                    <w:jc w:val="center"/>
                    <w:rPr>
                      <w:rFonts w:hint="default" w:eastAsia="宋体"/>
                      <w:lang w:val="en-US" w:eastAsia="zh-CN"/>
                    </w:rPr>
                  </w:pPr>
                  <w:r>
                    <w:rPr>
                      <w:rFonts w:hint="eastAsia"/>
                      <w:lang w:val="en-US" w:eastAsia="zh-CN"/>
                    </w:rPr>
                    <w:t>408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63" w:type="pct"/>
                  <w:noWrap w:val="0"/>
                  <w:tcMar>
                    <w:top w:w="0" w:type="dxa"/>
                    <w:left w:w="0" w:type="dxa"/>
                    <w:bottom w:w="0" w:type="dxa"/>
                    <w:right w:w="0" w:type="dxa"/>
                  </w:tcMar>
                  <w:vAlign w:val="center"/>
                </w:tcPr>
                <w:p>
                  <w:pPr>
                    <w:adjustRightInd w:val="0"/>
                    <w:snapToGrid w:val="0"/>
                    <w:jc w:val="center"/>
                  </w:pPr>
                  <w:r>
                    <w:rPr>
                      <w:rFonts w:hint="eastAsia"/>
                    </w:rPr>
                    <w:t>地表</w:t>
                  </w:r>
                  <w:r>
                    <w:t>水环境</w:t>
                  </w:r>
                </w:p>
              </w:tc>
              <w:tc>
                <w:tcPr>
                  <w:tcW w:w="386" w:type="pct"/>
                  <w:tcBorders>
                    <w:left w:val="single" w:color="000000" w:sz="4" w:space="0"/>
                  </w:tcBorders>
                  <w:noWrap w:val="0"/>
                  <w:tcMar>
                    <w:top w:w="0" w:type="dxa"/>
                    <w:left w:w="0" w:type="dxa"/>
                    <w:bottom w:w="0" w:type="dxa"/>
                    <w:right w:w="0" w:type="dxa"/>
                  </w:tcMar>
                  <w:vAlign w:val="center"/>
                </w:tcPr>
                <w:p>
                  <w:pPr>
                    <w:adjustRightInd w:val="0"/>
                    <w:snapToGrid w:val="0"/>
                    <w:jc w:val="center"/>
                    <w:rPr>
                      <w:rFonts w:hint="default"/>
                      <w:lang w:val="en-US"/>
                    </w:rPr>
                  </w:pPr>
                  <w:r>
                    <w:rPr>
                      <w:rFonts w:hint="eastAsia"/>
                      <w:lang w:val="en-US" w:eastAsia="zh-CN"/>
                    </w:rPr>
                    <w:t>604</w:t>
                  </w:r>
                </w:p>
              </w:tc>
              <w:tc>
                <w:tcPr>
                  <w:tcW w:w="407" w:type="pct"/>
                  <w:tcBorders>
                    <w:left w:val="single" w:color="000000" w:sz="4" w:space="0"/>
                  </w:tcBorders>
                  <w:noWrap w:val="0"/>
                  <w:tcMar>
                    <w:top w:w="0" w:type="dxa"/>
                    <w:left w:w="0" w:type="dxa"/>
                    <w:bottom w:w="0" w:type="dxa"/>
                    <w:right w:w="0" w:type="dxa"/>
                  </w:tcMar>
                  <w:vAlign w:val="center"/>
                </w:tcPr>
                <w:p>
                  <w:pPr>
                    <w:adjustRightInd w:val="0"/>
                    <w:snapToGrid w:val="0"/>
                    <w:jc w:val="center"/>
                    <w:rPr>
                      <w:rFonts w:hint="default"/>
                      <w:lang w:val="en-US"/>
                    </w:rPr>
                  </w:pPr>
                  <w:r>
                    <w:rPr>
                      <w:rFonts w:hint="eastAsia"/>
                      <w:lang w:val="en-US" w:eastAsia="zh-CN"/>
                    </w:rPr>
                    <w:t>537</w:t>
                  </w:r>
                </w:p>
              </w:tc>
              <w:tc>
                <w:tcPr>
                  <w:tcW w:w="954" w:type="pct"/>
                  <w:tcBorders>
                    <w:left w:val="single" w:color="000000" w:sz="4" w:space="0"/>
                  </w:tcBorders>
                  <w:noWrap w:val="0"/>
                  <w:tcMar>
                    <w:top w:w="0" w:type="dxa"/>
                    <w:left w:w="0" w:type="dxa"/>
                    <w:bottom w:w="0" w:type="dxa"/>
                    <w:right w:w="0" w:type="dxa"/>
                  </w:tcMar>
                  <w:vAlign w:val="center"/>
                </w:tcPr>
                <w:p>
                  <w:pPr>
                    <w:adjustRightInd w:val="0"/>
                    <w:snapToGrid w:val="0"/>
                    <w:jc w:val="center"/>
                  </w:pPr>
                  <w:r>
                    <w:rPr>
                      <w:rFonts w:hint="eastAsia"/>
                    </w:rPr>
                    <w:t>尧塘河</w:t>
                  </w:r>
                </w:p>
              </w:tc>
              <w:tc>
                <w:tcPr>
                  <w:tcW w:w="670" w:type="pct"/>
                  <w:noWrap w:val="0"/>
                  <w:tcMar>
                    <w:top w:w="0" w:type="dxa"/>
                    <w:left w:w="0" w:type="dxa"/>
                    <w:bottom w:w="0" w:type="dxa"/>
                    <w:right w:w="0" w:type="dxa"/>
                  </w:tcMar>
                  <w:vAlign w:val="center"/>
                </w:tcPr>
                <w:p>
                  <w:pPr>
                    <w:adjustRightInd w:val="0"/>
                    <w:snapToGrid w:val="0"/>
                    <w:jc w:val="center"/>
                  </w:pPr>
                  <w:r>
                    <w:t>小河</w:t>
                  </w:r>
                </w:p>
              </w:tc>
              <w:tc>
                <w:tcPr>
                  <w:tcW w:w="1375" w:type="pct"/>
                  <w:noWrap w:val="0"/>
                  <w:tcMar>
                    <w:top w:w="0" w:type="dxa"/>
                    <w:left w:w="0" w:type="dxa"/>
                    <w:bottom w:w="0" w:type="dxa"/>
                    <w:right w:w="0" w:type="dxa"/>
                  </w:tcMar>
                  <w:vAlign w:val="center"/>
                </w:tcPr>
                <w:p>
                  <w:pPr>
                    <w:adjustRightInd w:val="0"/>
                    <w:snapToGrid w:val="0"/>
                    <w:jc w:val="center"/>
                  </w:pPr>
                  <w:r>
                    <w:t>《地表水环境质量标准》</w:t>
                  </w:r>
                </w:p>
                <w:p>
                  <w:pPr>
                    <w:adjustRightInd w:val="0"/>
                    <w:snapToGrid w:val="0"/>
                    <w:jc w:val="center"/>
                  </w:pPr>
                  <w:r>
                    <w:t>（GB3838-2002）</w:t>
                  </w:r>
                  <w:r>
                    <w:rPr>
                      <w:rFonts w:hint="eastAsia"/>
                    </w:rPr>
                    <w:t>IV</w:t>
                  </w:r>
                  <w:r>
                    <w:t>类</w:t>
                  </w:r>
                </w:p>
              </w:tc>
              <w:tc>
                <w:tcPr>
                  <w:tcW w:w="325" w:type="pct"/>
                  <w:noWrap w:val="0"/>
                  <w:tcMar>
                    <w:top w:w="0" w:type="dxa"/>
                    <w:left w:w="0" w:type="dxa"/>
                    <w:bottom w:w="0" w:type="dxa"/>
                    <w:right w:w="0" w:type="dxa"/>
                  </w:tcMar>
                  <w:vAlign w:val="center"/>
                </w:tcPr>
                <w:p>
                  <w:pPr>
                    <w:adjustRightInd w:val="0"/>
                    <w:snapToGrid w:val="0"/>
                    <w:jc w:val="center"/>
                    <w:rPr>
                      <w:rFonts w:hint="eastAsia" w:eastAsia="宋体"/>
                      <w:lang w:eastAsia="zh-CN"/>
                    </w:rPr>
                  </w:pPr>
                  <w:r>
                    <w:rPr>
                      <w:rFonts w:hint="eastAsia"/>
                      <w:lang w:val="en-US" w:eastAsia="zh-CN"/>
                    </w:rPr>
                    <w:t>NE</w:t>
                  </w:r>
                </w:p>
              </w:tc>
              <w:tc>
                <w:tcPr>
                  <w:tcW w:w="418" w:type="pct"/>
                  <w:noWrap w:val="0"/>
                  <w:tcMar>
                    <w:top w:w="0" w:type="dxa"/>
                    <w:left w:w="0" w:type="dxa"/>
                    <w:bottom w:w="0" w:type="dxa"/>
                    <w:right w:w="0" w:type="dxa"/>
                  </w:tcMar>
                  <w:vAlign w:val="center"/>
                </w:tcPr>
                <w:p>
                  <w:pPr>
                    <w:adjustRightInd w:val="0"/>
                    <w:snapToGrid w:val="0"/>
                    <w:jc w:val="center"/>
                    <w:rPr>
                      <w:rFonts w:hint="default" w:eastAsia="宋体"/>
                      <w:lang w:val="en-US" w:eastAsia="zh-CN"/>
                    </w:rPr>
                  </w:pPr>
                  <w:r>
                    <w:rPr>
                      <w:rFonts w:hint="eastAsia"/>
                      <w:lang w:val="en-US" w:eastAsia="zh-CN"/>
                    </w:rPr>
                    <w:t>480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63" w:type="pct"/>
                  <w:noWrap w:val="0"/>
                  <w:tcMar>
                    <w:top w:w="0" w:type="dxa"/>
                    <w:left w:w="0" w:type="dxa"/>
                    <w:bottom w:w="0" w:type="dxa"/>
                    <w:right w:w="0" w:type="dxa"/>
                  </w:tcMar>
                  <w:vAlign w:val="center"/>
                </w:tcPr>
                <w:p>
                  <w:pPr>
                    <w:adjustRightInd w:val="0"/>
                    <w:snapToGrid w:val="0"/>
                    <w:jc w:val="center"/>
                  </w:pPr>
                  <w:r>
                    <w:t>声环境</w:t>
                  </w:r>
                </w:p>
              </w:tc>
              <w:tc>
                <w:tcPr>
                  <w:tcW w:w="386" w:type="pct"/>
                  <w:tcBorders>
                    <w:left w:val="single" w:color="000000" w:sz="4" w:space="0"/>
                  </w:tcBorders>
                  <w:noWrap w:val="0"/>
                  <w:tcMar>
                    <w:top w:w="0" w:type="dxa"/>
                    <w:left w:w="0" w:type="dxa"/>
                    <w:bottom w:w="0" w:type="dxa"/>
                    <w:right w:w="0" w:type="dxa"/>
                  </w:tcMar>
                  <w:vAlign w:val="center"/>
                </w:tcPr>
                <w:p>
                  <w:pPr>
                    <w:adjustRightInd w:val="0"/>
                    <w:snapToGrid w:val="0"/>
                    <w:jc w:val="center"/>
                  </w:pPr>
                  <w:r>
                    <w:t>/</w:t>
                  </w:r>
                </w:p>
              </w:tc>
              <w:tc>
                <w:tcPr>
                  <w:tcW w:w="407" w:type="pct"/>
                  <w:tcBorders>
                    <w:left w:val="single" w:color="000000" w:sz="4" w:space="0"/>
                  </w:tcBorders>
                  <w:noWrap w:val="0"/>
                  <w:tcMar>
                    <w:top w:w="0" w:type="dxa"/>
                    <w:left w:w="0" w:type="dxa"/>
                    <w:bottom w:w="0" w:type="dxa"/>
                    <w:right w:w="0" w:type="dxa"/>
                  </w:tcMar>
                  <w:vAlign w:val="center"/>
                </w:tcPr>
                <w:p>
                  <w:pPr>
                    <w:adjustRightInd w:val="0"/>
                    <w:snapToGrid w:val="0"/>
                    <w:jc w:val="center"/>
                  </w:pPr>
                  <w:r>
                    <w:t>/</w:t>
                  </w:r>
                </w:p>
              </w:tc>
              <w:tc>
                <w:tcPr>
                  <w:tcW w:w="954" w:type="pct"/>
                  <w:tcBorders>
                    <w:left w:val="single" w:color="000000" w:sz="4" w:space="0"/>
                  </w:tcBorders>
                  <w:noWrap w:val="0"/>
                  <w:tcMar>
                    <w:top w:w="0" w:type="dxa"/>
                    <w:left w:w="0" w:type="dxa"/>
                    <w:bottom w:w="0" w:type="dxa"/>
                    <w:right w:w="0" w:type="dxa"/>
                  </w:tcMar>
                  <w:vAlign w:val="center"/>
                </w:tcPr>
                <w:p>
                  <w:pPr>
                    <w:adjustRightInd w:val="0"/>
                    <w:snapToGrid w:val="0"/>
                    <w:jc w:val="center"/>
                    <w:rPr>
                      <w:rFonts w:hint="default" w:eastAsia="宋体"/>
                      <w:lang w:val="en-US" w:eastAsia="zh-CN"/>
                    </w:rPr>
                  </w:pPr>
                  <w:r>
                    <w:t>厂界</w:t>
                  </w:r>
                  <w:r>
                    <w:rPr>
                      <w:rFonts w:hint="eastAsia"/>
                      <w:lang w:val="en-US" w:eastAsia="zh-CN"/>
                    </w:rPr>
                    <w:t>200米范围</w:t>
                  </w:r>
                </w:p>
              </w:tc>
              <w:tc>
                <w:tcPr>
                  <w:tcW w:w="670" w:type="pct"/>
                  <w:noWrap w:val="0"/>
                  <w:tcMar>
                    <w:top w:w="0" w:type="dxa"/>
                    <w:left w:w="0" w:type="dxa"/>
                    <w:bottom w:w="0" w:type="dxa"/>
                    <w:right w:w="0" w:type="dxa"/>
                  </w:tcMar>
                  <w:vAlign w:val="center"/>
                </w:tcPr>
                <w:p>
                  <w:pPr>
                    <w:adjustRightInd w:val="0"/>
                    <w:snapToGrid w:val="0"/>
                    <w:jc w:val="center"/>
                  </w:pPr>
                  <w:r>
                    <w:t>/</w:t>
                  </w:r>
                </w:p>
              </w:tc>
              <w:tc>
                <w:tcPr>
                  <w:tcW w:w="1375" w:type="pct"/>
                  <w:noWrap w:val="0"/>
                  <w:tcMar>
                    <w:top w:w="0" w:type="dxa"/>
                    <w:left w:w="0" w:type="dxa"/>
                    <w:bottom w:w="0" w:type="dxa"/>
                    <w:right w:w="0" w:type="dxa"/>
                  </w:tcMar>
                  <w:vAlign w:val="center"/>
                </w:tcPr>
                <w:p>
                  <w:pPr>
                    <w:adjustRightInd w:val="0"/>
                    <w:snapToGrid w:val="0"/>
                    <w:jc w:val="center"/>
                  </w:pPr>
                  <w:r>
                    <w:t>《声环境质量标准》（GB 3096-2008）</w:t>
                  </w:r>
                  <w:r>
                    <w:rPr>
                      <w:rFonts w:hint="eastAsia"/>
                    </w:rPr>
                    <w:t>2</w:t>
                  </w:r>
                  <w:r>
                    <w:t>类标准</w:t>
                  </w:r>
                </w:p>
              </w:tc>
              <w:tc>
                <w:tcPr>
                  <w:tcW w:w="325" w:type="pct"/>
                  <w:noWrap w:val="0"/>
                  <w:tcMar>
                    <w:top w:w="0" w:type="dxa"/>
                    <w:left w:w="0" w:type="dxa"/>
                    <w:bottom w:w="0" w:type="dxa"/>
                    <w:right w:w="0" w:type="dxa"/>
                  </w:tcMar>
                  <w:vAlign w:val="center"/>
                </w:tcPr>
                <w:p>
                  <w:pPr>
                    <w:adjustRightInd w:val="0"/>
                    <w:snapToGrid w:val="0"/>
                    <w:jc w:val="center"/>
                  </w:pPr>
                  <w:r>
                    <w:t>/</w:t>
                  </w:r>
                </w:p>
              </w:tc>
              <w:tc>
                <w:tcPr>
                  <w:tcW w:w="418" w:type="pct"/>
                  <w:noWrap w:val="0"/>
                  <w:tcMar>
                    <w:top w:w="0" w:type="dxa"/>
                    <w:left w:w="0" w:type="dxa"/>
                    <w:bottom w:w="0" w:type="dxa"/>
                    <w:right w:w="0" w:type="dxa"/>
                  </w:tcMar>
                  <w:vAlign w:val="center"/>
                </w:tcPr>
                <w:p>
                  <w:pPr>
                    <w:adjustRightInd w:val="0"/>
                    <w:snapToGrid w:val="0"/>
                    <w:jc w:val="center"/>
                  </w:pP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63" w:type="pct"/>
                  <w:vMerge w:val="restart"/>
                  <w:noWrap w:val="0"/>
                  <w:tcMar>
                    <w:top w:w="0" w:type="dxa"/>
                    <w:left w:w="0" w:type="dxa"/>
                    <w:bottom w:w="0" w:type="dxa"/>
                    <w:right w:w="0" w:type="dxa"/>
                  </w:tcMar>
                  <w:vAlign w:val="center"/>
                </w:tcPr>
                <w:p>
                  <w:pPr>
                    <w:adjustRightInd w:val="0"/>
                    <w:snapToGrid w:val="0"/>
                    <w:jc w:val="center"/>
                  </w:pPr>
                  <w:r>
                    <w:t>生态环境</w:t>
                  </w:r>
                </w:p>
              </w:tc>
              <w:tc>
                <w:tcPr>
                  <w:tcW w:w="386" w:type="pct"/>
                  <w:tcBorders>
                    <w:left w:val="single" w:color="000000" w:sz="4" w:space="0"/>
                  </w:tcBorders>
                  <w:noWrap w:val="0"/>
                  <w:tcMar>
                    <w:top w:w="0" w:type="dxa"/>
                    <w:left w:w="0" w:type="dxa"/>
                    <w:bottom w:w="0" w:type="dxa"/>
                    <w:right w:w="0" w:type="dxa"/>
                  </w:tcMar>
                  <w:vAlign w:val="center"/>
                </w:tcPr>
                <w:p>
                  <w:pPr>
                    <w:adjustRightInd w:val="0"/>
                    <w:snapToGrid w:val="0"/>
                    <w:jc w:val="center"/>
                    <w:rPr>
                      <w:rFonts w:hint="default" w:eastAsia="宋体"/>
                      <w:lang w:val="en-US" w:eastAsia="zh-CN"/>
                    </w:rPr>
                  </w:pPr>
                  <w:r>
                    <w:rPr>
                      <w:rFonts w:hint="eastAsia"/>
                    </w:rPr>
                    <w:t>-</w:t>
                  </w:r>
                  <w:r>
                    <w:rPr>
                      <w:rFonts w:hint="eastAsia"/>
                      <w:lang w:val="en-US" w:eastAsia="zh-CN"/>
                    </w:rPr>
                    <w:t>9207</w:t>
                  </w:r>
                </w:p>
              </w:tc>
              <w:tc>
                <w:tcPr>
                  <w:tcW w:w="407" w:type="pct"/>
                  <w:tcBorders>
                    <w:left w:val="single" w:color="000000" w:sz="4" w:space="0"/>
                  </w:tcBorders>
                  <w:noWrap w:val="0"/>
                  <w:tcMar>
                    <w:top w:w="0" w:type="dxa"/>
                    <w:left w:w="0" w:type="dxa"/>
                    <w:bottom w:w="0" w:type="dxa"/>
                    <w:right w:w="0" w:type="dxa"/>
                  </w:tcMar>
                  <w:vAlign w:val="center"/>
                </w:tcPr>
                <w:p>
                  <w:pPr>
                    <w:adjustRightInd w:val="0"/>
                    <w:snapToGrid w:val="0"/>
                    <w:jc w:val="center"/>
                    <w:rPr>
                      <w:rFonts w:hint="default" w:eastAsia="宋体"/>
                      <w:lang w:val="en-US" w:eastAsia="zh-CN"/>
                    </w:rPr>
                  </w:pPr>
                  <w:r>
                    <w:rPr>
                      <w:rFonts w:hint="eastAsia"/>
                    </w:rPr>
                    <w:t>-</w:t>
                  </w:r>
                  <w:r>
                    <w:rPr>
                      <w:rFonts w:hint="eastAsia"/>
                      <w:lang w:val="en-US" w:eastAsia="zh-CN"/>
                    </w:rPr>
                    <w:t>1494</w:t>
                  </w:r>
                </w:p>
              </w:tc>
              <w:tc>
                <w:tcPr>
                  <w:tcW w:w="954" w:type="pct"/>
                  <w:tcBorders>
                    <w:left w:val="single" w:color="000000" w:sz="4" w:space="0"/>
                  </w:tcBorders>
                  <w:noWrap w:val="0"/>
                  <w:tcMar>
                    <w:top w:w="0" w:type="dxa"/>
                    <w:left w:w="0" w:type="dxa"/>
                    <w:bottom w:w="0" w:type="dxa"/>
                    <w:right w:w="0" w:type="dxa"/>
                  </w:tcMar>
                  <w:vAlign w:val="center"/>
                </w:tcPr>
                <w:p>
                  <w:pPr>
                    <w:adjustRightInd w:val="0"/>
                    <w:snapToGrid w:val="0"/>
                    <w:jc w:val="center"/>
                  </w:pPr>
                  <w:r>
                    <w:rPr>
                      <w:rFonts w:hint="eastAsia"/>
                      <w:szCs w:val="21"/>
                    </w:rPr>
                    <w:t>长荡湖重要渔业区域</w:t>
                  </w:r>
                </w:p>
              </w:tc>
              <w:tc>
                <w:tcPr>
                  <w:tcW w:w="670" w:type="pct"/>
                  <w:noWrap w:val="0"/>
                  <w:tcMar>
                    <w:top w:w="0" w:type="dxa"/>
                    <w:left w:w="0" w:type="dxa"/>
                    <w:bottom w:w="0" w:type="dxa"/>
                    <w:right w:w="0" w:type="dxa"/>
                  </w:tcMar>
                  <w:vAlign w:val="center"/>
                </w:tcPr>
                <w:p>
                  <w:pPr>
                    <w:adjustRightInd w:val="0"/>
                    <w:snapToGrid w:val="0"/>
                    <w:jc w:val="center"/>
                  </w:pPr>
                  <w:r>
                    <w:rPr>
                      <w:rFonts w:hint="eastAsia"/>
                    </w:rPr>
                    <w:t>水产种质资源保护区范围</w:t>
                  </w:r>
                </w:p>
              </w:tc>
              <w:tc>
                <w:tcPr>
                  <w:tcW w:w="1375" w:type="pct"/>
                  <w:noWrap w:val="0"/>
                  <w:tcMar>
                    <w:top w:w="0" w:type="dxa"/>
                    <w:left w:w="0" w:type="dxa"/>
                    <w:bottom w:w="0" w:type="dxa"/>
                    <w:right w:w="0" w:type="dxa"/>
                  </w:tcMar>
                  <w:vAlign w:val="center"/>
                </w:tcPr>
                <w:p>
                  <w:pPr>
                    <w:adjustRightInd w:val="0"/>
                    <w:snapToGrid w:val="0"/>
                    <w:jc w:val="center"/>
                  </w:pPr>
                  <w:r>
                    <w:rPr>
                      <w:rFonts w:hint="eastAsia"/>
                    </w:rPr>
                    <w:t>渔业资源保护</w:t>
                  </w:r>
                </w:p>
              </w:tc>
              <w:tc>
                <w:tcPr>
                  <w:tcW w:w="325" w:type="pct"/>
                  <w:noWrap w:val="0"/>
                  <w:tcMar>
                    <w:top w:w="0" w:type="dxa"/>
                    <w:left w:w="0" w:type="dxa"/>
                    <w:bottom w:w="0" w:type="dxa"/>
                    <w:right w:w="0" w:type="dxa"/>
                  </w:tcMar>
                  <w:vAlign w:val="center"/>
                </w:tcPr>
                <w:p>
                  <w:pPr>
                    <w:adjustRightInd w:val="0"/>
                    <w:snapToGrid w:val="0"/>
                    <w:jc w:val="center"/>
                    <w:rPr>
                      <w:rFonts w:hint="eastAsia" w:eastAsia="宋体"/>
                      <w:lang w:eastAsia="zh-CN"/>
                    </w:rPr>
                  </w:pPr>
                  <w:r>
                    <w:rPr>
                      <w:rFonts w:hint="eastAsia"/>
                      <w:lang w:val="en-US" w:eastAsia="zh-CN"/>
                    </w:rPr>
                    <w:t>S</w:t>
                  </w:r>
                </w:p>
              </w:tc>
              <w:tc>
                <w:tcPr>
                  <w:tcW w:w="418" w:type="pct"/>
                  <w:noWrap w:val="0"/>
                  <w:tcMar>
                    <w:top w:w="0" w:type="dxa"/>
                    <w:left w:w="0" w:type="dxa"/>
                    <w:bottom w:w="0" w:type="dxa"/>
                    <w:right w:w="0" w:type="dxa"/>
                  </w:tcMar>
                  <w:vAlign w:val="center"/>
                </w:tcPr>
                <w:p>
                  <w:pPr>
                    <w:adjustRightInd w:val="0"/>
                    <w:snapToGrid w:val="0"/>
                    <w:jc w:val="center"/>
                    <w:rPr>
                      <w:rFonts w:hint="default" w:eastAsia="宋体"/>
                      <w:lang w:val="en-US" w:eastAsia="zh-CN"/>
                    </w:rPr>
                  </w:pPr>
                  <w:r>
                    <w:rPr>
                      <w:rFonts w:hint="eastAsia"/>
                      <w:lang w:val="en-US" w:eastAsia="zh-CN"/>
                    </w:rPr>
                    <w:t>2881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63" w:type="pct"/>
                  <w:vMerge w:val="continue"/>
                  <w:noWrap w:val="0"/>
                  <w:tcMar>
                    <w:top w:w="0" w:type="dxa"/>
                    <w:left w:w="0" w:type="dxa"/>
                    <w:bottom w:w="0" w:type="dxa"/>
                    <w:right w:w="0" w:type="dxa"/>
                  </w:tcMar>
                  <w:vAlign w:val="center"/>
                </w:tcPr>
                <w:p>
                  <w:pPr>
                    <w:adjustRightInd w:val="0"/>
                    <w:snapToGrid w:val="0"/>
                    <w:jc w:val="center"/>
                  </w:pPr>
                </w:p>
              </w:tc>
              <w:tc>
                <w:tcPr>
                  <w:tcW w:w="386" w:type="pct"/>
                  <w:tcBorders>
                    <w:left w:val="single" w:color="000000" w:sz="4" w:space="0"/>
                  </w:tcBorders>
                  <w:noWrap w:val="0"/>
                  <w:tcMar>
                    <w:top w:w="0" w:type="dxa"/>
                    <w:left w:w="0" w:type="dxa"/>
                    <w:bottom w:w="0" w:type="dxa"/>
                    <w:right w:w="0" w:type="dxa"/>
                  </w:tcMar>
                  <w:vAlign w:val="center"/>
                </w:tcPr>
                <w:p>
                  <w:pPr>
                    <w:adjustRightInd w:val="0"/>
                    <w:snapToGrid w:val="0"/>
                    <w:jc w:val="center"/>
                    <w:rPr>
                      <w:rFonts w:hint="default" w:eastAsia="宋体"/>
                      <w:lang w:val="en-US" w:eastAsia="zh-CN"/>
                    </w:rPr>
                  </w:pPr>
                  <w:r>
                    <w:t>-</w:t>
                  </w:r>
                  <w:r>
                    <w:rPr>
                      <w:rFonts w:hint="eastAsia"/>
                      <w:lang w:val="en-US" w:eastAsia="zh-CN"/>
                    </w:rPr>
                    <w:t>2324</w:t>
                  </w:r>
                </w:p>
              </w:tc>
              <w:tc>
                <w:tcPr>
                  <w:tcW w:w="407" w:type="pct"/>
                  <w:tcBorders>
                    <w:left w:val="single" w:color="000000" w:sz="4" w:space="0"/>
                  </w:tcBorders>
                  <w:noWrap w:val="0"/>
                  <w:tcMar>
                    <w:top w:w="0" w:type="dxa"/>
                    <w:left w:w="0" w:type="dxa"/>
                    <w:bottom w:w="0" w:type="dxa"/>
                    <w:right w:w="0" w:type="dxa"/>
                  </w:tcMar>
                  <w:vAlign w:val="center"/>
                </w:tcPr>
                <w:p>
                  <w:pPr>
                    <w:adjustRightInd w:val="0"/>
                    <w:snapToGrid w:val="0"/>
                    <w:jc w:val="center"/>
                  </w:pPr>
                  <w:r>
                    <w:t>-</w:t>
                  </w:r>
                  <w:r>
                    <w:rPr>
                      <w:rFonts w:hint="eastAsia"/>
                    </w:rPr>
                    <w:t>8</w:t>
                  </w:r>
                  <w:r>
                    <w:rPr>
                      <w:rFonts w:hint="eastAsia"/>
                      <w:lang w:val="en-US" w:eastAsia="zh-CN"/>
                    </w:rPr>
                    <w:t>92</w:t>
                  </w:r>
                  <w:r>
                    <w:rPr>
                      <w:rFonts w:hint="eastAsia"/>
                    </w:rPr>
                    <w:t>8</w:t>
                  </w:r>
                </w:p>
              </w:tc>
              <w:tc>
                <w:tcPr>
                  <w:tcW w:w="954" w:type="pct"/>
                  <w:tcBorders>
                    <w:left w:val="single" w:color="000000" w:sz="4" w:space="0"/>
                  </w:tcBorders>
                  <w:noWrap w:val="0"/>
                  <w:tcMar>
                    <w:top w:w="0" w:type="dxa"/>
                    <w:left w:w="0" w:type="dxa"/>
                    <w:bottom w:w="0" w:type="dxa"/>
                    <w:right w:w="0" w:type="dxa"/>
                  </w:tcMar>
                  <w:vAlign w:val="center"/>
                </w:tcPr>
                <w:p>
                  <w:pPr>
                    <w:adjustRightInd w:val="0"/>
                    <w:snapToGrid w:val="0"/>
                    <w:jc w:val="center"/>
                    <w:rPr>
                      <w:szCs w:val="21"/>
                    </w:rPr>
                  </w:pPr>
                  <w:r>
                    <w:rPr>
                      <w:rFonts w:hint="eastAsia"/>
                      <w:snapToGrid w:val="0"/>
                      <w:kern w:val="0"/>
                      <w:szCs w:val="21"/>
                    </w:rPr>
                    <w:t>长荡湖（金坛区）重要湿地</w:t>
                  </w:r>
                </w:p>
              </w:tc>
              <w:tc>
                <w:tcPr>
                  <w:tcW w:w="670" w:type="pct"/>
                  <w:noWrap w:val="0"/>
                  <w:tcMar>
                    <w:top w:w="0" w:type="dxa"/>
                    <w:left w:w="0" w:type="dxa"/>
                    <w:bottom w:w="0" w:type="dxa"/>
                    <w:right w:w="0" w:type="dxa"/>
                  </w:tcMar>
                  <w:vAlign w:val="center"/>
                </w:tcPr>
                <w:p>
                  <w:pPr>
                    <w:adjustRightInd w:val="0"/>
                    <w:snapToGrid w:val="0"/>
                    <w:jc w:val="center"/>
                    <w:rPr>
                      <w:rFonts w:hint="eastAsia" w:eastAsia="宋体"/>
                      <w:lang w:eastAsia="zh-CN"/>
                    </w:rPr>
                  </w:pPr>
                  <w:r>
                    <w:rPr>
                      <w:rFonts w:hint="eastAsia"/>
                      <w:lang w:val="en-US" w:eastAsia="zh-CN"/>
                    </w:rPr>
                    <w:t>/</w:t>
                  </w:r>
                </w:p>
              </w:tc>
              <w:tc>
                <w:tcPr>
                  <w:tcW w:w="1375" w:type="pct"/>
                  <w:noWrap w:val="0"/>
                  <w:tcMar>
                    <w:top w:w="0" w:type="dxa"/>
                    <w:left w:w="0" w:type="dxa"/>
                    <w:bottom w:w="0" w:type="dxa"/>
                    <w:right w:w="0" w:type="dxa"/>
                  </w:tcMar>
                  <w:vAlign w:val="center"/>
                </w:tcPr>
                <w:p>
                  <w:pPr>
                    <w:adjustRightInd w:val="0"/>
                    <w:snapToGrid w:val="0"/>
                    <w:jc w:val="center"/>
                    <w:rPr>
                      <w:rFonts w:hint="default" w:eastAsia="宋体"/>
                      <w:lang w:val="en-US" w:eastAsia="zh-CN"/>
                    </w:rPr>
                  </w:pPr>
                  <w:r>
                    <w:rPr>
                      <w:rFonts w:hint="eastAsia"/>
                    </w:rPr>
                    <w:t>湿地生态系统保护</w:t>
                  </w:r>
                </w:p>
              </w:tc>
              <w:tc>
                <w:tcPr>
                  <w:tcW w:w="325" w:type="pct"/>
                  <w:noWrap w:val="0"/>
                  <w:tcMar>
                    <w:top w:w="0" w:type="dxa"/>
                    <w:left w:w="0" w:type="dxa"/>
                    <w:bottom w:w="0" w:type="dxa"/>
                    <w:right w:w="0" w:type="dxa"/>
                  </w:tcMar>
                  <w:vAlign w:val="center"/>
                </w:tcPr>
                <w:p>
                  <w:pPr>
                    <w:adjustRightInd w:val="0"/>
                    <w:snapToGrid w:val="0"/>
                    <w:jc w:val="center"/>
                    <w:rPr>
                      <w:rFonts w:hint="eastAsia" w:eastAsia="宋体"/>
                      <w:lang w:eastAsia="zh-CN"/>
                    </w:rPr>
                  </w:pPr>
                  <w:r>
                    <w:rPr>
                      <w:rFonts w:hint="eastAsia"/>
                      <w:lang w:val="en-US" w:eastAsia="zh-CN"/>
                    </w:rPr>
                    <w:t>S</w:t>
                  </w:r>
                </w:p>
              </w:tc>
              <w:tc>
                <w:tcPr>
                  <w:tcW w:w="418" w:type="pct"/>
                  <w:noWrap w:val="0"/>
                  <w:tcMar>
                    <w:top w:w="0" w:type="dxa"/>
                    <w:left w:w="0" w:type="dxa"/>
                    <w:bottom w:w="0" w:type="dxa"/>
                    <w:right w:w="0" w:type="dxa"/>
                  </w:tcMar>
                  <w:vAlign w:val="center"/>
                </w:tcPr>
                <w:p>
                  <w:pPr>
                    <w:adjustRightInd w:val="0"/>
                    <w:snapToGrid w:val="0"/>
                    <w:jc w:val="center"/>
                    <w:rPr>
                      <w:rFonts w:hint="default"/>
                      <w:lang w:val="en-US"/>
                    </w:rPr>
                  </w:pPr>
                  <w:r>
                    <w:rPr>
                      <w:rFonts w:hint="eastAsia"/>
                      <w:lang w:val="en-US" w:eastAsia="zh-CN"/>
                    </w:rPr>
                    <w:t>11000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63" w:type="pct"/>
                  <w:noWrap w:val="0"/>
                  <w:tcMar>
                    <w:top w:w="0" w:type="dxa"/>
                    <w:left w:w="0" w:type="dxa"/>
                    <w:bottom w:w="0" w:type="dxa"/>
                    <w:right w:w="0" w:type="dxa"/>
                  </w:tcMar>
                  <w:vAlign w:val="center"/>
                </w:tcPr>
                <w:p>
                  <w:pPr>
                    <w:adjustRightInd w:val="0"/>
                    <w:snapToGrid w:val="0"/>
                    <w:jc w:val="center"/>
                    <w:rPr>
                      <w:rFonts w:hint="eastAsia"/>
                    </w:rPr>
                  </w:pPr>
                  <w:r>
                    <w:rPr>
                      <w:rFonts w:hint="eastAsia"/>
                    </w:rPr>
                    <w:t>地下水</w:t>
                  </w:r>
                </w:p>
              </w:tc>
              <w:tc>
                <w:tcPr>
                  <w:tcW w:w="2418" w:type="pct"/>
                  <w:gridSpan w:val="4"/>
                  <w:tcBorders>
                    <w:left w:val="single" w:color="000000" w:sz="4" w:space="0"/>
                  </w:tcBorders>
                  <w:noWrap w:val="0"/>
                  <w:tcMar>
                    <w:top w:w="0" w:type="dxa"/>
                    <w:left w:w="0" w:type="dxa"/>
                    <w:bottom w:w="0" w:type="dxa"/>
                    <w:right w:w="0" w:type="dxa"/>
                  </w:tcMar>
                  <w:vAlign w:val="center"/>
                </w:tcPr>
                <w:p>
                  <w:pPr>
                    <w:adjustRightInd w:val="0"/>
                    <w:snapToGrid w:val="0"/>
                    <w:jc w:val="center"/>
                  </w:pPr>
                  <w:r>
                    <w:rPr>
                      <w:rFonts w:hint="eastAsia"/>
                    </w:rPr>
                    <w:t>项目所在区域500m范围</w:t>
                  </w:r>
                </w:p>
              </w:tc>
              <w:tc>
                <w:tcPr>
                  <w:tcW w:w="2118" w:type="pct"/>
                  <w:gridSpan w:val="3"/>
                  <w:noWrap w:val="0"/>
                  <w:tcMar>
                    <w:top w:w="0" w:type="dxa"/>
                    <w:left w:w="0" w:type="dxa"/>
                    <w:bottom w:w="0" w:type="dxa"/>
                    <w:right w:w="0" w:type="dxa"/>
                  </w:tcMar>
                  <w:vAlign w:val="center"/>
                </w:tcPr>
                <w:p>
                  <w:pPr>
                    <w:adjustRightInd w:val="0"/>
                    <w:snapToGrid w:val="0"/>
                    <w:jc w:val="center"/>
                    <w:rPr>
                      <w:rFonts w:hint="eastAsia"/>
                    </w:rPr>
                  </w:pPr>
                  <w:r>
                    <w:rPr>
                      <w:rFonts w:hint="eastAsia"/>
                    </w:rPr>
                    <w:t>/</w:t>
                  </w:r>
                </w:p>
              </w:tc>
            </w:tr>
          </w:tbl>
          <w:p>
            <w:pPr>
              <w:adjustRightInd w:val="0"/>
              <w:snapToGrid w:val="0"/>
              <w:rPr>
                <w:rFonts w:hint="default" w:eastAsia="宋体"/>
                <w:color w:val="0000FF"/>
                <w:kern w:val="0"/>
                <w:sz w:val="24"/>
                <w:lang w:val="en-US" w:eastAsia="zh-CN"/>
              </w:rPr>
            </w:pPr>
            <w:r>
              <w:rPr>
                <w:rFonts w:hint="eastAsia" w:ascii="Times New Roman" w:hAnsi="Times New Roman" w:eastAsia="宋体" w:cs="Times New Roman"/>
                <w:b/>
                <w:bCs/>
                <w:lang w:val="en-US" w:eastAsia="zh-CN"/>
              </w:rPr>
              <w:t>注：以厂房中心为原点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dxa"/>
            <w:noWrap w:val="0"/>
            <w:tcMar>
              <w:left w:w="28" w:type="dxa"/>
              <w:right w:w="28" w:type="dxa"/>
            </w:tcMar>
            <w:vAlign w:val="center"/>
          </w:tcPr>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kern w:val="0"/>
                <w:sz w:val="24"/>
              </w:rPr>
            </w:pPr>
            <w:r>
              <w:rPr>
                <w:kern w:val="0"/>
                <w:sz w:val="24"/>
              </w:rPr>
              <w:t>污染</w:t>
            </w:r>
          </w:p>
          <w:p>
            <w:pPr>
              <w:adjustRightInd w:val="0"/>
              <w:snapToGrid w:val="0"/>
              <w:jc w:val="center"/>
              <w:rPr>
                <w:kern w:val="0"/>
                <w:sz w:val="24"/>
              </w:rPr>
            </w:pPr>
            <w:r>
              <w:rPr>
                <w:kern w:val="0"/>
                <w:sz w:val="24"/>
              </w:rPr>
              <w:t>物排</w:t>
            </w:r>
          </w:p>
          <w:p>
            <w:pPr>
              <w:adjustRightInd w:val="0"/>
              <w:snapToGrid w:val="0"/>
              <w:jc w:val="center"/>
              <w:rPr>
                <w:kern w:val="0"/>
                <w:sz w:val="24"/>
              </w:rPr>
            </w:pPr>
            <w:r>
              <w:rPr>
                <w:kern w:val="0"/>
                <w:sz w:val="24"/>
              </w:rPr>
              <w:t>放控</w:t>
            </w:r>
          </w:p>
          <w:p>
            <w:pPr>
              <w:adjustRightInd w:val="0"/>
              <w:snapToGrid w:val="0"/>
              <w:jc w:val="center"/>
              <w:rPr>
                <w:kern w:val="0"/>
                <w:sz w:val="24"/>
              </w:rPr>
            </w:pPr>
            <w:r>
              <w:rPr>
                <w:kern w:val="0"/>
                <w:sz w:val="24"/>
              </w:rPr>
              <w:t>制标</w:t>
            </w:r>
          </w:p>
          <w:p>
            <w:pPr>
              <w:adjustRightInd w:val="0"/>
              <w:snapToGrid w:val="0"/>
              <w:jc w:val="center"/>
              <w:rPr>
                <w:kern w:val="0"/>
                <w:sz w:val="24"/>
              </w:rPr>
            </w:pPr>
            <w:r>
              <w:rPr>
                <w:kern w:val="0"/>
                <w:sz w:val="24"/>
              </w:rPr>
              <w:t>准</w:t>
            </w:r>
          </w:p>
          <w:p>
            <w:pPr>
              <w:adjustRightInd w:val="0"/>
              <w:snapToGrid w:val="0"/>
              <w:jc w:val="center"/>
              <w:rPr>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color w:val="0000FF"/>
                <w:kern w:val="0"/>
                <w:sz w:val="24"/>
              </w:rPr>
            </w:pPr>
          </w:p>
          <w:p>
            <w:pPr>
              <w:adjustRightInd w:val="0"/>
              <w:snapToGrid w:val="0"/>
              <w:jc w:val="center"/>
              <w:rPr>
                <w:kern w:val="0"/>
                <w:sz w:val="24"/>
              </w:rPr>
            </w:pPr>
          </w:p>
          <w:p>
            <w:pPr>
              <w:adjustRightInd w:val="0"/>
              <w:snapToGrid w:val="0"/>
              <w:jc w:val="center"/>
              <w:rPr>
                <w:kern w:val="0"/>
                <w:sz w:val="24"/>
              </w:rPr>
            </w:pPr>
            <w:r>
              <w:rPr>
                <w:kern w:val="0"/>
                <w:sz w:val="24"/>
              </w:rPr>
              <w:t>污染</w:t>
            </w:r>
          </w:p>
          <w:p>
            <w:pPr>
              <w:adjustRightInd w:val="0"/>
              <w:snapToGrid w:val="0"/>
              <w:jc w:val="center"/>
              <w:rPr>
                <w:kern w:val="0"/>
                <w:sz w:val="24"/>
              </w:rPr>
            </w:pPr>
            <w:r>
              <w:rPr>
                <w:kern w:val="0"/>
                <w:sz w:val="24"/>
              </w:rPr>
              <w:t>物排</w:t>
            </w:r>
          </w:p>
          <w:p>
            <w:pPr>
              <w:adjustRightInd w:val="0"/>
              <w:snapToGrid w:val="0"/>
              <w:jc w:val="center"/>
              <w:rPr>
                <w:kern w:val="0"/>
                <w:sz w:val="24"/>
              </w:rPr>
            </w:pPr>
            <w:r>
              <w:rPr>
                <w:kern w:val="0"/>
                <w:sz w:val="24"/>
              </w:rPr>
              <w:t>放控</w:t>
            </w:r>
          </w:p>
          <w:p>
            <w:pPr>
              <w:adjustRightInd w:val="0"/>
              <w:snapToGrid w:val="0"/>
              <w:jc w:val="center"/>
              <w:rPr>
                <w:kern w:val="0"/>
                <w:sz w:val="24"/>
              </w:rPr>
            </w:pPr>
            <w:r>
              <w:rPr>
                <w:kern w:val="0"/>
                <w:sz w:val="24"/>
              </w:rPr>
              <w:t>制标</w:t>
            </w:r>
          </w:p>
          <w:p>
            <w:pPr>
              <w:adjustRightInd w:val="0"/>
              <w:snapToGrid w:val="0"/>
              <w:jc w:val="center"/>
              <w:rPr>
                <w:kern w:val="0"/>
                <w:sz w:val="24"/>
              </w:rPr>
            </w:pPr>
            <w:r>
              <w:rPr>
                <w:kern w:val="0"/>
                <w:sz w:val="24"/>
              </w:rPr>
              <w:t>准</w:t>
            </w:r>
          </w:p>
          <w:p>
            <w:pPr>
              <w:adjustRightInd w:val="0"/>
              <w:snapToGrid w:val="0"/>
              <w:jc w:val="center"/>
              <w:rPr>
                <w:color w:val="0000FF"/>
                <w:kern w:val="0"/>
                <w:sz w:val="24"/>
              </w:rPr>
            </w:pPr>
          </w:p>
        </w:tc>
        <w:tc>
          <w:tcPr>
            <w:tcW w:w="8525" w:type="dxa"/>
            <w:noWrap w:val="0"/>
            <w:vAlign w:val="center"/>
          </w:tcPr>
          <w:p>
            <w:pPr>
              <w:keepNext/>
              <w:keepLines/>
              <w:numPr>
                <w:ilvl w:val="0"/>
                <w:numId w:val="0"/>
              </w:numPr>
              <w:tabs>
                <w:tab w:val="left" w:pos="2126"/>
              </w:tabs>
              <w:adjustRightInd w:val="0"/>
              <w:snapToGrid w:val="0"/>
              <w:spacing w:before="120" w:beforeLines="50" w:line="360" w:lineRule="auto"/>
              <w:rPr>
                <w:rFonts w:hint="eastAsia"/>
                <w:b/>
                <w:bCs/>
                <w:sz w:val="24"/>
                <w:highlight w:val="none"/>
              </w:rPr>
            </w:pPr>
            <w:bookmarkStart w:id="7" w:name="_Toc71671774"/>
            <w:r>
              <w:rPr>
                <w:rFonts w:hint="eastAsia"/>
                <w:b/>
                <w:bCs/>
                <w:sz w:val="24"/>
                <w:highlight w:val="none"/>
                <w:lang w:val="en-US" w:eastAsia="zh-CN"/>
              </w:rPr>
              <w:t>1、</w:t>
            </w:r>
            <w:r>
              <w:rPr>
                <w:b/>
                <w:bCs/>
                <w:sz w:val="24"/>
                <w:highlight w:val="none"/>
              </w:rPr>
              <w:t>废水</w:t>
            </w:r>
            <w:r>
              <w:rPr>
                <w:rFonts w:hint="eastAsia"/>
                <w:b/>
                <w:bCs/>
                <w:sz w:val="24"/>
                <w:highlight w:val="none"/>
              </w:rPr>
              <w:t>排放标准</w:t>
            </w:r>
            <w:bookmarkEnd w:id="7"/>
          </w:p>
          <w:p>
            <w:pPr>
              <w:adjustRightInd w:val="0"/>
              <w:snapToGrid w:val="0"/>
              <w:spacing w:line="324" w:lineRule="auto"/>
              <w:ind w:firstLine="480" w:firstLineChars="200"/>
              <w:rPr>
                <w:rFonts w:hint="eastAsia"/>
                <w:sz w:val="24"/>
              </w:rPr>
            </w:pPr>
            <w:r>
              <w:rPr>
                <w:sz w:val="24"/>
              </w:rPr>
              <w:t>本项目</w:t>
            </w:r>
            <w:r>
              <w:rPr>
                <w:rFonts w:hint="eastAsia"/>
                <w:sz w:val="24"/>
                <w:lang w:val="en-US" w:eastAsia="zh-CN"/>
              </w:rPr>
              <w:t>水质简单，</w:t>
            </w:r>
            <w:r>
              <w:rPr>
                <w:sz w:val="24"/>
                <w:highlight w:val="none"/>
              </w:rPr>
              <w:t>达</w:t>
            </w:r>
            <w:r>
              <w:rPr>
                <w:rFonts w:hint="eastAsia"/>
                <w:sz w:val="24"/>
                <w:highlight w:val="none"/>
              </w:rPr>
              <w:t>金</w:t>
            </w:r>
            <w:r>
              <w:rPr>
                <w:rFonts w:hint="eastAsia"/>
                <w:sz w:val="24"/>
              </w:rPr>
              <w:t>坛区第二污水处理厂接管限值和《污水排入城镇下水道水质标准》（GB/T31962-2015）表1中B等级标准后，经市政污水管网接管排入金坛区第二污水处理厂集中处理，处理尾水达到《城镇污水处理厂污染物排放标准》（GB18918-2002）表1中的一级A标准及</w:t>
            </w:r>
            <w:r>
              <w:rPr>
                <w:sz w:val="24"/>
              </w:rPr>
              <w:t>《太湖地区城镇污水处理厂及重点工业行业主要水污染物排放限值》（DB32/1072-2018）中表2标准</w:t>
            </w:r>
            <w:r>
              <w:rPr>
                <w:rFonts w:hint="eastAsia"/>
                <w:sz w:val="24"/>
              </w:rPr>
              <w:t>后排入尧塘河。具体标准见表3-</w:t>
            </w:r>
            <w:r>
              <w:rPr>
                <w:rFonts w:hint="eastAsia"/>
                <w:sz w:val="24"/>
                <w:lang w:val="en-US" w:eastAsia="zh-CN"/>
              </w:rPr>
              <w:t>5</w:t>
            </w:r>
            <w:r>
              <w:rPr>
                <w:rFonts w:hint="eastAsia"/>
                <w:sz w:val="24"/>
              </w:rPr>
              <w:t>与表3-</w:t>
            </w:r>
            <w:r>
              <w:rPr>
                <w:rFonts w:hint="eastAsia"/>
                <w:sz w:val="24"/>
                <w:lang w:val="en-US" w:eastAsia="zh-CN"/>
              </w:rPr>
              <w:t>6</w:t>
            </w:r>
            <w:r>
              <w:rPr>
                <w:rFonts w:hint="eastAsia"/>
                <w:sz w:val="24"/>
              </w:rPr>
              <w:t>。</w:t>
            </w:r>
          </w:p>
          <w:p>
            <w:pPr>
              <w:tabs>
                <w:tab w:val="left" w:pos="960"/>
              </w:tabs>
              <w:jc w:val="center"/>
              <w:rPr>
                <w:b/>
                <w:bCs/>
                <w:spacing w:val="-4"/>
                <w:sz w:val="24"/>
              </w:rPr>
            </w:pPr>
            <w:r>
              <w:rPr>
                <w:rFonts w:hint="eastAsia"/>
                <w:b/>
                <w:bCs/>
                <w:spacing w:val="-4"/>
                <w:sz w:val="24"/>
              </w:rPr>
              <w:t>表3-</w:t>
            </w:r>
            <w:r>
              <w:rPr>
                <w:rFonts w:hint="eastAsia"/>
                <w:b/>
                <w:bCs/>
                <w:spacing w:val="-4"/>
                <w:sz w:val="24"/>
                <w:lang w:val="en-US" w:eastAsia="zh-CN"/>
              </w:rPr>
              <w:t>5</w:t>
            </w:r>
            <w:r>
              <w:rPr>
                <w:rFonts w:hint="eastAsia"/>
                <w:b/>
                <w:bCs/>
                <w:spacing w:val="-4"/>
                <w:sz w:val="24"/>
              </w:rPr>
              <w:t xml:space="preserve">  污水接管要求  </w:t>
            </w:r>
            <w:r>
              <w:rPr>
                <w:b/>
                <w:bCs/>
                <w:spacing w:val="-4"/>
                <w:sz w:val="24"/>
              </w:rPr>
              <w:t>单位：mg/L，pH无量纲</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396"/>
              <w:gridCol w:w="2230"/>
              <w:gridCol w:w="368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42" w:type="pct"/>
                  <w:noWrap w:val="0"/>
                  <w:vAlign w:val="center"/>
                </w:tcPr>
                <w:p>
                  <w:pPr>
                    <w:adjustRightInd w:val="0"/>
                    <w:snapToGrid w:val="0"/>
                    <w:jc w:val="center"/>
                    <w:rPr>
                      <w:b/>
                      <w:szCs w:val="21"/>
                    </w:rPr>
                  </w:pPr>
                  <w:r>
                    <w:rPr>
                      <w:b/>
                      <w:szCs w:val="21"/>
                    </w:rPr>
                    <w:t>污染物</w:t>
                  </w:r>
                </w:p>
              </w:tc>
              <w:tc>
                <w:tcPr>
                  <w:tcW w:w="1342" w:type="pct"/>
                  <w:noWrap w:val="0"/>
                  <w:vAlign w:val="center"/>
                </w:tcPr>
                <w:p>
                  <w:pPr>
                    <w:adjustRightInd w:val="0"/>
                    <w:snapToGrid w:val="0"/>
                    <w:jc w:val="center"/>
                    <w:rPr>
                      <w:b/>
                      <w:szCs w:val="21"/>
                    </w:rPr>
                  </w:pPr>
                  <w:r>
                    <w:rPr>
                      <w:b/>
                      <w:bCs/>
                      <w:szCs w:val="21"/>
                    </w:rPr>
                    <w:t>接管标准浓度限值</w:t>
                  </w:r>
                </w:p>
              </w:tc>
              <w:tc>
                <w:tcPr>
                  <w:tcW w:w="2214" w:type="pct"/>
                  <w:noWrap w:val="0"/>
                  <w:vAlign w:val="center"/>
                </w:tcPr>
                <w:p>
                  <w:pPr>
                    <w:adjustRightInd w:val="0"/>
                    <w:snapToGrid w:val="0"/>
                    <w:jc w:val="center"/>
                    <w:rPr>
                      <w:b/>
                      <w:szCs w:val="21"/>
                    </w:rPr>
                  </w:pPr>
                  <w:r>
                    <w:rPr>
                      <w:b/>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42" w:type="pct"/>
                  <w:noWrap w:val="0"/>
                  <w:vAlign w:val="center"/>
                </w:tcPr>
                <w:p>
                  <w:pPr>
                    <w:adjustRightInd w:val="0"/>
                    <w:snapToGrid w:val="0"/>
                    <w:jc w:val="center"/>
                    <w:rPr>
                      <w:szCs w:val="21"/>
                    </w:rPr>
                  </w:pPr>
                  <w:r>
                    <w:rPr>
                      <w:szCs w:val="21"/>
                    </w:rPr>
                    <w:t>pH</w:t>
                  </w:r>
                </w:p>
              </w:tc>
              <w:tc>
                <w:tcPr>
                  <w:tcW w:w="1342" w:type="pct"/>
                  <w:noWrap w:val="0"/>
                  <w:vAlign w:val="center"/>
                </w:tcPr>
                <w:p>
                  <w:pPr>
                    <w:adjustRightInd w:val="0"/>
                    <w:snapToGrid w:val="0"/>
                    <w:jc w:val="center"/>
                    <w:rPr>
                      <w:szCs w:val="21"/>
                    </w:rPr>
                  </w:pPr>
                  <w:r>
                    <w:rPr>
                      <w:szCs w:val="21"/>
                    </w:rPr>
                    <w:t>6</w:t>
                  </w:r>
                  <w:r>
                    <w:rPr>
                      <w:rFonts w:hint="eastAsia"/>
                      <w:szCs w:val="21"/>
                    </w:rPr>
                    <w:t>~</w:t>
                  </w:r>
                  <w:r>
                    <w:rPr>
                      <w:szCs w:val="21"/>
                    </w:rPr>
                    <w:t>9</w:t>
                  </w:r>
                </w:p>
              </w:tc>
              <w:tc>
                <w:tcPr>
                  <w:tcW w:w="2214" w:type="pct"/>
                  <w:vMerge w:val="restart"/>
                  <w:noWrap w:val="0"/>
                  <w:vAlign w:val="center"/>
                </w:tcPr>
                <w:p>
                  <w:pPr>
                    <w:adjustRightInd w:val="0"/>
                    <w:snapToGrid w:val="0"/>
                    <w:jc w:val="center"/>
                    <w:rPr>
                      <w:szCs w:val="21"/>
                    </w:rPr>
                  </w:pPr>
                  <w:r>
                    <w:rPr>
                      <w:szCs w:val="21"/>
                    </w:rPr>
                    <w:t>金坛区第二污水处理厂接管限值要求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42" w:type="pct"/>
                  <w:noWrap w:val="0"/>
                  <w:vAlign w:val="center"/>
                </w:tcPr>
                <w:p>
                  <w:pPr>
                    <w:adjustRightInd w:val="0"/>
                    <w:snapToGrid w:val="0"/>
                    <w:jc w:val="center"/>
                    <w:rPr>
                      <w:szCs w:val="21"/>
                    </w:rPr>
                  </w:pPr>
                  <w:r>
                    <w:rPr>
                      <w:szCs w:val="21"/>
                    </w:rPr>
                    <w:t>COD</w:t>
                  </w:r>
                </w:p>
              </w:tc>
              <w:tc>
                <w:tcPr>
                  <w:tcW w:w="1342" w:type="pct"/>
                  <w:noWrap w:val="0"/>
                  <w:vAlign w:val="center"/>
                </w:tcPr>
                <w:p>
                  <w:pPr>
                    <w:adjustRightInd w:val="0"/>
                    <w:snapToGrid w:val="0"/>
                    <w:jc w:val="center"/>
                    <w:rPr>
                      <w:szCs w:val="21"/>
                    </w:rPr>
                  </w:pPr>
                  <w:r>
                    <w:rPr>
                      <w:szCs w:val="21"/>
                    </w:rPr>
                    <w:t>500</w:t>
                  </w:r>
                </w:p>
              </w:tc>
              <w:tc>
                <w:tcPr>
                  <w:tcW w:w="2214" w:type="pct"/>
                  <w:vMerge w:val="continue"/>
                  <w:noWrap w:val="0"/>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42" w:type="pct"/>
                  <w:noWrap w:val="0"/>
                  <w:vAlign w:val="center"/>
                </w:tcPr>
                <w:p>
                  <w:pPr>
                    <w:adjustRightInd w:val="0"/>
                    <w:snapToGrid w:val="0"/>
                    <w:jc w:val="center"/>
                    <w:rPr>
                      <w:szCs w:val="21"/>
                    </w:rPr>
                  </w:pPr>
                  <w:r>
                    <w:rPr>
                      <w:szCs w:val="21"/>
                    </w:rPr>
                    <w:t>SS</w:t>
                  </w:r>
                </w:p>
              </w:tc>
              <w:tc>
                <w:tcPr>
                  <w:tcW w:w="1342" w:type="pct"/>
                  <w:noWrap w:val="0"/>
                  <w:vAlign w:val="center"/>
                </w:tcPr>
                <w:p>
                  <w:pPr>
                    <w:adjustRightInd w:val="0"/>
                    <w:snapToGrid w:val="0"/>
                    <w:jc w:val="center"/>
                    <w:rPr>
                      <w:szCs w:val="21"/>
                    </w:rPr>
                  </w:pPr>
                  <w:r>
                    <w:rPr>
                      <w:szCs w:val="21"/>
                    </w:rPr>
                    <w:t>250</w:t>
                  </w:r>
                </w:p>
              </w:tc>
              <w:tc>
                <w:tcPr>
                  <w:tcW w:w="2214" w:type="pct"/>
                  <w:vMerge w:val="continue"/>
                  <w:noWrap w:val="0"/>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42" w:type="pct"/>
                  <w:noWrap w:val="0"/>
                  <w:vAlign w:val="center"/>
                </w:tcPr>
                <w:p>
                  <w:pPr>
                    <w:adjustRightInd w:val="0"/>
                    <w:snapToGrid w:val="0"/>
                    <w:jc w:val="center"/>
                    <w:rPr>
                      <w:szCs w:val="21"/>
                    </w:rPr>
                  </w:pPr>
                  <w:r>
                    <w:rPr>
                      <w:szCs w:val="21"/>
                    </w:rPr>
                    <w:t>氨氮</w:t>
                  </w:r>
                </w:p>
              </w:tc>
              <w:tc>
                <w:tcPr>
                  <w:tcW w:w="1342" w:type="pct"/>
                  <w:noWrap w:val="0"/>
                  <w:vAlign w:val="center"/>
                </w:tcPr>
                <w:p>
                  <w:pPr>
                    <w:adjustRightInd w:val="0"/>
                    <w:snapToGrid w:val="0"/>
                    <w:jc w:val="center"/>
                    <w:rPr>
                      <w:szCs w:val="21"/>
                    </w:rPr>
                  </w:pPr>
                  <w:r>
                    <w:rPr>
                      <w:szCs w:val="21"/>
                    </w:rPr>
                    <w:t>35</w:t>
                  </w:r>
                </w:p>
              </w:tc>
              <w:tc>
                <w:tcPr>
                  <w:tcW w:w="2214" w:type="pct"/>
                  <w:vMerge w:val="continue"/>
                  <w:noWrap w:val="0"/>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42" w:type="pct"/>
                  <w:noWrap w:val="0"/>
                  <w:vAlign w:val="center"/>
                </w:tcPr>
                <w:p>
                  <w:pPr>
                    <w:adjustRightInd w:val="0"/>
                    <w:snapToGrid w:val="0"/>
                    <w:jc w:val="center"/>
                    <w:rPr>
                      <w:szCs w:val="21"/>
                    </w:rPr>
                  </w:pPr>
                  <w:r>
                    <w:rPr>
                      <w:szCs w:val="21"/>
                    </w:rPr>
                    <w:t>TP</w:t>
                  </w:r>
                </w:p>
              </w:tc>
              <w:tc>
                <w:tcPr>
                  <w:tcW w:w="1342" w:type="pct"/>
                  <w:noWrap w:val="0"/>
                  <w:vAlign w:val="center"/>
                </w:tcPr>
                <w:p>
                  <w:pPr>
                    <w:adjustRightInd w:val="0"/>
                    <w:snapToGrid w:val="0"/>
                    <w:jc w:val="center"/>
                    <w:rPr>
                      <w:szCs w:val="21"/>
                    </w:rPr>
                  </w:pPr>
                  <w:r>
                    <w:rPr>
                      <w:szCs w:val="21"/>
                    </w:rPr>
                    <w:t>3</w:t>
                  </w:r>
                </w:p>
              </w:tc>
              <w:tc>
                <w:tcPr>
                  <w:tcW w:w="2214" w:type="pct"/>
                  <w:vMerge w:val="continue"/>
                  <w:noWrap w:val="0"/>
                  <w:vAlign w:val="center"/>
                </w:tcPr>
                <w:p>
                  <w:pPr>
                    <w:pStyle w:val="22"/>
                    <w:adjustRightInd w:val="0"/>
                    <w:snapToGrid w:val="0"/>
                    <w:ind w:firstLine="21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42" w:type="pct"/>
                  <w:noWrap w:val="0"/>
                  <w:vAlign w:val="center"/>
                </w:tcPr>
                <w:p>
                  <w:pPr>
                    <w:adjustRightInd w:val="0"/>
                    <w:snapToGrid w:val="0"/>
                    <w:jc w:val="center"/>
                    <w:rPr>
                      <w:szCs w:val="21"/>
                    </w:rPr>
                  </w:pPr>
                  <w:r>
                    <w:rPr>
                      <w:szCs w:val="21"/>
                    </w:rPr>
                    <w:t>TN</w:t>
                  </w:r>
                </w:p>
              </w:tc>
              <w:tc>
                <w:tcPr>
                  <w:tcW w:w="1342" w:type="pct"/>
                  <w:noWrap w:val="0"/>
                  <w:vAlign w:val="center"/>
                </w:tcPr>
                <w:p>
                  <w:pPr>
                    <w:adjustRightInd w:val="0"/>
                    <w:snapToGrid w:val="0"/>
                    <w:jc w:val="center"/>
                    <w:rPr>
                      <w:szCs w:val="21"/>
                    </w:rPr>
                  </w:pPr>
                  <w:r>
                    <w:rPr>
                      <w:szCs w:val="21"/>
                    </w:rPr>
                    <w:t>50</w:t>
                  </w:r>
                </w:p>
              </w:tc>
              <w:tc>
                <w:tcPr>
                  <w:tcW w:w="2214" w:type="pct"/>
                  <w:vMerge w:val="continue"/>
                  <w:noWrap w:val="0"/>
                  <w:vAlign w:val="center"/>
                </w:tcPr>
                <w:p>
                  <w:pPr>
                    <w:pStyle w:val="22"/>
                    <w:adjustRightInd w:val="0"/>
                    <w:snapToGrid w:val="0"/>
                    <w:ind w:firstLine="210"/>
                    <w:jc w:val="center"/>
                    <w:rPr>
                      <w:sz w:val="21"/>
                      <w:szCs w:val="21"/>
                    </w:rPr>
                  </w:pPr>
                </w:p>
              </w:tc>
            </w:tr>
          </w:tbl>
          <w:p>
            <w:pPr>
              <w:tabs>
                <w:tab w:val="left" w:pos="960"/>
              </w:tabs>
              <w:adjustRightInd w:val="0"/>
              <w:snapToGrid w:val="0"/>
              <w:spacing w:before="120" w:beforeLines="50"/>
              <w:jc w:val="center"/>
              <w:rPr>
                <w:b/>
                <w:bCs/>
                <w:spacing w:val="-4"/>
                <w:sz w:val="24"/>
              </w:rPr>
            </w:pPr>
          </w:p>
          <w:p>
            <w:pPr>
              <w:tabs>
                <w:tab w:val="left" w:pos="960"/>
              </w:tabs>
              <w:adjustRightInd w:val="0"/>
              <w:snapToGrid w:val="0"/>
              <w:spacing w:before="120" w:beforeLines="50"/>
              <w:jc w:val="both"/>
              <w:rPr>
                <w:b/>
                <w:bCs/>
                <w:spacing w:val="-4"/>
                <w:sz w:val="24"/>
              </w:rPr>
            </w:pPr>
          </w:p>
          <w:p>
            <w:pPr>
              <w:tabs>
                <w:tab w:val="left" w:pos="960"/>
              </w:tabs>
              <w:adjustRightInd w:val="0"/>
              <w:snapToGrid w:val="0"/>
              <w:spacing w:before="120" w:beforeLines="50"/>
              <w:jc w:val="center"/>
              <w:rPr>
                <w:b/>
                <w:bCs/>
                <w:spacing w:val="-4"/>
                <w:sz w:val="24"/>
              </w:rPr>
            </w:pPr>
            <w:r>
              <w:rPr>
                <w:b/>
                <w:bCs/>
                <w:spacing w:val="-4"/>
                <w:sz w:val="24"/>
              </w:rPr>
              <w:t>表3-</w:t>
            </w:r>
            <w:r>
              <w:rPr>
                <w:rFonts w:hint="eastAsia"/>
                <w:b/>
                <w:bCs/>
                <w:spacing w:val="-4"/>
                <w:sz w:val="24"/>
                <w:lang w:val="en-US" w:eastAsia="zh-CN"/>
              </w:rPr>
              <w:t>6</w:t>
            </w:r>
            <w:r>
              <w:rPr>
                <w:b/>
                <w:bCs/>
                <w:spacing w:val="-4"/>
                <w:sz w:val="24"/>
              </w:rPr>
              <w:t xml:space="preserve"> </w:t>
            </w:r>
            <w:r>
              <w:rPr>
                <w:rFonts w:hint="eastAsia"/>
                <w:b/>
                <w:bCs/>
                <w:spacing w:val="-4"/>
                <w:sz w:val="24"/>
              </w:rPr>
              <w:t xml:space="preserve"> 城镇污水处理厂污染物排放标准  单位：mg/L，pH为无量纲</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00"/>
              <w:gridCol w:w="1331"/>
              <w:gridCol w:w="1710"/>
              <w:gridCol w:w="426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01" w:type="pct"/>
                  <w:noWrap w:val="0"/>
                  <w:vAlign w:val="center"/>
                </w:tcPr>
                <w:p>
                  <w:pPr>
                    <w:adjustRightInd w:val="0"/>
                    <w:snapToGrid w:val="0"/>
                    <w:jc w:val="center"/>
                    <w:rPr>
                      <w:szCs w:val="21"/>
                    </w:rPr>
                  </w:pPr>
                  <w:r>
                    <w:rPr>
                      <w:b/>
                      <w:szCs w:val="21"/>
                    </w:rPr>
                    <w:t>序号</w:t>
                  </w:r>
                </w:p>
              </w:tc>
              <w:tc>
                <w:tcPr>
                  <w:tcW w:w="801" w:type="pct"/>
                  <w:noWrap w:val="0"/>
                  <w:vAlign w:val="center"/>
                </w:tcPr>
                <w:p>
                  <w:pPr>
                    <w:adjustRightInd w:val="0"/>
                    <w:snapToGrid w:val="0"/>
                    <w:jc w:val="center"/>
                    <w:rPr>
                      <w:b/>
                      <w:szCs w:val="21"/>
                    </w:rPr>
                  </w:pPr>
                  <w:r>
                    <w:rPr>
                      <w:b/>
                      <w:szCs w:val="21"/>
                    </w:rPr>
                    <w:t>项目</w:t>
                  </w:r>
                </w:p>
              </w:tc>
              <w:tc>
                <w:tcPr>
                  <w:tcW w:w="1029" w:type="pct"/>
                  <w:noWrap w:val="0"/>
                  <w:vAlign w:val="center"/>
                </w:tcPr>
                <w:p>
                  <w:pPr>
                    <w:adjustRightInd w:val="0"/>
                    <w:snapToGrid w:val="0"/>
                    <w:jc w:val="center"/>
                    <w:rPr>
                      <w:b/>
                      <w:szCs w:val="21"/>
                    </w:rPr>
                  </w:pPr>
                  <w:r>
                    <w:rPr>
                      <w:b/>
                      <w:szCs w:val="21"/>
                    </w:rPr>
                    <w:t>浓度（mg/L）</w:t>
                  </w:r>
                </w:p>
              </w:tc>
              <w:tc>
                <w:tcPr>
                  <w:tcW w:w="2567" w:type="pct"/>
                  <w:noWrap w:val="0"/>
                  <w:vAlign w:val="center"/>
                </w:tcPr>
                <w:p>
                  <w:pPr>
                    <w:adjustRightInd w:val="0"/>
                    <w:snapToGrid w:val="0"/>
                    <w:jc w:val="center"/>
                    <w:rPr>
                      <w:b/>
                      <w:szCs w:val="21"/>
                    </w:rPr>
                  </w:pPr>
                  <w:r>
                    <w:rPr>
                      <w:b/>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601" w:type="pct"/>
                  <w:noWrap w:val="0"/>
                  <w:vAlign w:val="center"/>
                </w:tcPr>
                <w:p>
                  <w:pPr>
                    <w:adjustRightInd w:val="0"/>
                    <w:snapToGrid w:val="0"/>
                    <w:jc w:val="center"/>
                    <w:rPr>
                      <w:szCs w:val="21"/>
                    </w:rPr>
                  </w:pPr>
                  <w:r>
                    <w:rPr>
                      <w:szCs w:val="21"/>
                    </w:rPr>
                    <w:t>1</w:t>
                  </w:r>
                </w:p>
              </w:tc>
              <w:tc>
                <w:tcPr>
                  <w:tcW w:w="801" w:type="pct"/>
                  <w:noWrap w:val="0"/>
                  <w:vAlign w:val="center"/>
                </w:tcPr>
                <w:p>
                  <w:pPr>
                    <w:adjustRightInd w:val="0"/>
                    <w:snapToGrid w:val="0"/>
                    <w:jc w:val="center"/>
                    <w:rPr>
                      <w:snapToGrid w:val="0"/>
                      <w:kern w:val="18"/>
                      <w:szCs w:val="21"/>
                    </w:rPr>
                  </w:pPr>
                  <w:r>
                    <w:rPr>
                      <w:snapToGrid w:val="0"/>
                      <w:kern w:val="18"/>
                      <w:szCs w:val="21"/>
                    </w:rPr>
                    <w:t>pH</w:t>
                  </w:r>
                </w:p>
              </w:tc>
              <w:tc>
                <w:tcPr>
                  <w:tcW w:w="1029" w:type="pct"/>
                  <w:noWrap w:val="0"/>
                  <w:vAlign w:val="center"/>
                </w:tcPr>
                <w:p>
                  <w:pPr>
                    <w:adjustRightInd w:val="0"/>
                    <w:snapToGrid w:val="0"/>
                    <w:jc w:val="center"/>
                    <w:rPr>
                      <w:szCs w:val="21"/>
                    </w:rPr>
                  </w:pPr>
                  <w:r>
                    <w:rPr>
                      <w:szCs w:val="21"/>
                    </w:rPr>
                    <w:t>6~9</w:t>
                  </w:r>
                </w:p>
              </w:tc>
              <w:tc>
                <w:tcPr>
                  <w:tcW w:w="2567" w:type="pct"/>
                  <w:vMerge w:val="restart"/>
                  <w:noWrap w:val="0"/>
                  <w:vAlign w:val="center"/>
                </w:tcPr>
                <w:p>
                  <w:pPr>
                    <w:adjustRightInd w:val="0"/>
                    <w:snapToGrid w:val="0"/>
                    <w:jc w:val="center"/>
                    <w:rPr>
                      <w:snapToGrid w:val="0"/>
                      <w:kern w:val="18"/>
                      <w:szCs w:val="21"/>
                    </w:rPr>
                  </w:pPr>
                  <w:r>
                    <w:rPr>
                      <w:snapToGrid w:val="0"/>
                      <w:kern w:val="18"/>
                      <w:szCs w:val="21"/>
                    </w:rPr>
                    <w:t>《城镇污水处理厂污染物排放标准》</w:t>
                  </w:r>
                  <w:r>
                    <w:rPr>
                      <w:szCs w:val="21"/>
                    </w:rPr>
                    <w:t>（</w:t>
                  </w:r>
                  <w:r>
                    <w:rPr>
                      <w:snapToGrid w:val="0"/>
                      <w:kern w:val="18"/>
                      <w:szCs w:val="21"/>
                    </w:rPr>
                    <w:t>GB18918</w:t>
                  </w:r>
                  <w:r>
                    <w:rPr>
                      <w:szCs w:val="21"/>
                    </w:rPr>
                    <w:t>-2002）及其修改单中</w:t>
                  </w:r>
                  <w:r>
                    <w:rPr>
                      <w:snapToGrid w:val="0"/>
                      <w:kern w:val="18"/>
                      <w:szCs w:val="21"/>
                    </w:rPr>
                    <w:t>一级</w:t>
                  </w:r>
                  <w:r>
                    <w:rPr>
                      <w:szCs w:val="21"/>
                    </w:rPr>
                    <w:t>A标准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601" w:type="pct"/>
                  <w:noWrap w:val="0"/>
                  <w:vAlign w:val="center"/>
                </w:tcPr>
                <w:p>
                  <w:pPr>
                    <w:adjustRightInd w:val="0"/>
                    <w:snapToGrid w:val="0"/>
                    <w:jc w:val="center"/>
                    <w:rPr>
                      <w:szCs w:val="21"/>
                    </w:rPr>
                  </w:pPr>
                  <w:r>
                    <w:rPr>
                      <w:szCs w:val="21"/>
                    </w:rPr>
                    <w:t>2</w:t>
                  </w:r>
                </w:p>
              </w:tc>
              <w:tc>
                <w:tcPr>
                  <w:tcW w:w="801" w:type="pct"/>
                  <w:noWrap w:val="0"/>
                  <w:vAlign w:val="center"/>
                </w:tcPr>
                <w:p>
                  <w:pPr>
                    <w:adjustRightInd w:val="0"/>
                    <w:snapToGrid w:val="0"/>
                    <w:jc w:val="center"/>
                    <w:rPr>
                      <w:snapToGrid w:val="0"/>
                      <w:kern w:val="18"/>
                      <w:szCs w:val="21"/>
                    </w:rPr>
                  </w:pPr>
                  <w:r>
                    <w:rPr>
                      <w:snapToGrid w:val="0"/>
                      <w:kern w:val="18"/>
                      <w:szCs w:val="21"/>
                    </w:rPr>
                    <w:t>BOD</w:t>
                  </w:r>
                  <w:r>
                    <w:rPr>
                      <w:snapToGrid w:val="0"/>
                      <w:kern w:val="18"/>
                      <w:szCs w:val="21"/>
                      <w:vertAlign w:val="subscript"/>
                    </w:rPr>
                    <w:t>5</w:t>
                  </w:r>
                </w:p>
              </w:tc>
              <w:tc>
                <w:tcPr>
                  <w:tcW w:w="1029" w:type="pct"/>
                  <w:noWrap w:val="0"/>
                  <w:vAlign w:val="center"/>
                </w:tcPr>
                <w:p>
                  <w:pPr>
                    <w:adjustRightInd w:val="0"/>
                    <w:snapToGrid w:val="0"/>
                    <w:jc w:val="center"/>
                    <w:rPr>
                      <w:snapToGrid w:val="0"/>
                      <w:kern w:val="18"/>
                      <w:szCs w:val="21"/>
                    </w:rPr>
                  </w:pPr>
                  <w:r>
                    <w:rPr>
                      <w:snapToGrid w:val="0"/>
                      <w:kern w:val="18"/>
                      <w:szCs w:val="21"/>
                    </w:rPr>
                    <w:t>≤10</w:t>
                  </w:r>
                </w:p>
              </w:tc>
              <w:tc>
                <w:tcPr>
                  <w:tcW w:w="2567" w:type="pct"/>
                  <w:vMerge w:val="continue"/>
                  <w:noWrap w:val="0"/>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601" w:type="pct"/>
                  <w:noWrap w:val="0"/>
                  <w:vAlign w:val="center"/>
                </w:tcPr>
                <w:p>
                  <w:pPr>
                    <w:adjustRightInd w:val="0"/>
                    <w:snapToGrid w:val="0"/>
                    <w:jc w:val="center"/>
                    <w:rPr>
                      <w:szCs w:val="21"/>
                    </w:rPr>
                  </w:pPr>
                  <w:r>
                    <w:rPr>
                      <w:szCs w:val="21"/>
                    </w:rPr>
                    <w:t>3</w:t>
                  </w:r>
                </w:p>
              </w:tc>
              <w:tc>
                <w:tcPr>
                  <w:tcW w:w="801" w:type="pct"/>
                  <w:noWrap w:val="0"/>
                  <w:vAlign w:val="center"/>
                </w:tcPr>
                <w:p>
                  <w:pPr>
                    <w:adjustRightInd w:val="0"/>
                    <w:snapToGrid w:val="0"/>
                    <w:jc w:val="center"/>
                    <w:rPr>
                      <w:snapToGrid w:val="0"/>
                      <w:kern w:val="18"/>
                      <w:szCs w:val="21"/>
                    </w:rPr>
                  </w:pPr>
                  <w:r>
                    <w:rPr>
                      <w:snapToGrid w:val="0"/>
                      <w:kern w:val="18"/>
                      <w:szCs w:val="21"/>
                    </w:rPr>
                    <w:t>SS</w:t>
                  </w:r>
                </w:p>
              </w:tc>
              <w:tc>
                <w:tcPr>
                  <w:tcW w:w="1029" w:type="pct"/>
                  <w:noWrap w:val="0"/>
                  <w:vAlign w:val="center"/>
                </w:tcPr>
                <w:p>
                  <w:pPr>
                    <w:adjustRightInd w:val="0"/>
                    <w:snapToGrid w:val="0"/>
                    <w:jc w:val="center"/>
                    <w:rPr>
                      <w:snapToGrid w:val="0"/>
                      <w:kern w:val="18"/>
                      <w:szCs w:val="21"/>
                    </w:rPr>
                  </w:pPr>
                  <w:r>
                    <w:rPr>
                      <w:snapToGrid w:val="0"/>
                      <w:kern w:val="18"/>
                      <w:szCs w:val="21"/>
                    </w:rPr>
                    <w:t>≤10</w:t>
                  </w:r>
                </w:p>
              </w:tc>
              <w:tc>
                <w:tcPr>
                  <w:tcW w:w="2567" w:type="pct"/>
                  <w:vMerge w:val="continue"/>
                  <w:noWrap w:val="0"/>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601" w:type="pct"/>
                  <w:noWrap w:val="0"/>
                  <w:vAlign w:val="center"/>
                </w:tcPr>
                <w:p>
                  <w:pPr>
                    <w:adjustRightInd w:val="0"/>
                    <w:snapToGrid w:val="0"/>
                    <w:jc w:val="center"/>
                    <w:rPr>
                      <w:szCs w:val="21"/>
                    </w:rPr>
                  </w:pPr>
                  <w:r>
                    <w:rPr>
                      <w:szCs w:val="21"/>
                    </w:rPr>
                    <w:t>4</w:t>
                  </w:r>
                </w:p>
              </w:tc>
              <w:tc>
                <w:tcPr>
                  <w:tcW w:w="801" w:type="pct"/>
                  <w:noWrap w:val="0"/>
                  <w:vAlign w:val="center"/>
                </w:tcPr>
                <w:p>
                  <w:pPr>
                    <w:adjustRightInd w:val="0"/>
                    <w:snapToGrid w:val="0"/>
                    <w:jc w:val="center"/>
                    <w:rPr>
                      <w:snapToGrid w:val="0"/>
                      <w:kern w:val="18"/>
                      <w:szCs w:val="21"/>
                    </w:rPr>
                  </w:pPr>
                  <w:r>
                    <w:rPr>
                      <w:snapToGrid w:val="0"/>
                      <w:kern w:val="18"/>
                      <w:szCs w:val="21"/>
                    </w:rPr>
                    <w:t>COD</w:t>
                  </w:r>
                </w:p>
              </w:tc>
              <w:tc>
                <w:tcPr>
                  <w:tcW w:w="1029" w:type="pct"/>
                  <w:noWrap w:val="0"/>
                  <w:vAlign w:val="center"/>
                </w:tcPr>
                <w:p>
                  <w:pPr>
                    <w:adjustRightInd w:val="0"/>
                    <w:snapToGrid w:val="0"/>
                    <w:jc w:val="center"/>
                    <w:rPr>
                      <w:snapToGrid w:val="0"/>
                      <w:kern w:val="18"/>
                      <w:szCs w:val="21"/>
                    </w:rPr>
                  </w:pPr>
                  <w:r>
                    <w:rPr>
                      <w:snapToGrid w:val="0"/>
                      <w:kern w:val="18"/>
                      <w:szCs w:val="21"/>
                    </w:rPr>
                    <w:t>≤50</w:t>
                  </w:r>
                </w:p>
              </w:tc>
              <w:tc>
                <w:tcPr>
                  <w:tcW w:w="2567" w:type="pct"/>
                  <w:vMerge w:val="restart"/>
                  <w:noWrap w:val="0"/>
                  <w:vAlign w:val="center"/>
                </w:tcPr>
                <w:p>
                  <w:pPr>
                    <w:adjustRightInd w:val="0"/>
                    <w:snapToGrid w:val="0"/>
                    <w:jc w:val="center"/>
                    <w:rPr>
                      <w:szCs w:val="21"/>
                    </w:rPr>
                  </w:pPr>
                  <w:r>
                    <w:rPr>
                      <w:szCs w:val="21"/>
                    </w:rPr>
                    <w:t>《太湖地区镇污水处理厂及重点工业行业主要水污染物排放限值》（DB32/1072—2018）中表2中的标准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601" w:type="pct"/>
                  <w:noWrap w:val="0"/>
                  <w:vAlign w:val="center"/>
                </w:tcPr>
                <w:p>
                  <w:pPr>
                    <w:adjustRightInd w:val="0"/>
                    <w:snapToGrid w:val="0"/>
                    <w:jc w:val="center"/>
                    <w:rPr>
                      <w:szCs w:val="21"/>
                    </w:rPr>
                  </w:pPr>
                  <w:r>
                    <w:rPr>
                      <w:szCs w:val="21"/>
                    </w:rPr>
                    <w:t>5</w:t>
                  </w:r>
                </w:p>
              </w:tc>
              <w:tc>
                <w:tcPr>
                  <w:tcW w:w="801" w:type="pct"/>
                  <w:noWrap w:val="0"/>
                  <w:vAlign w:val="center"/>
                </w:tcPr>
                <w:p>
                  <w:pPr>
                    <w:adjustRightInd w:val="0"/>
                    <w:snapToGrid w:val="0"/>
                    <w:jc w:val="center"/>
                    <w:rPr>
                      <w:snapToGrid w:val="0"/>
                      <w:kern w:val="18"/>
                      <w:szCs w:val="21"/>
                    </w:rPr>
                  </w:pPr>
                  <w:r>
                    <w:rPr>
                      <w:snapToGrid w:val="0"/>
                      <w:kern w:val="18"/>
                      <w:szCs w:val="21"/>
                    </w:rPr>
                    <w:t>氨氮</w:t>
                  </w:r>
                </w:p>
              </w:tc>
              <w:tc>
                <w:tcPr>
                  <w:tcW w:w="1029" w:type="pct"/>
                  <w:noWrap w:val="0"/>
                  <w:vAlign w:val="center"/>
                </w:tcPr>
                <w:p>
                  <w:pPr>
                    <w:adjustRightInd w:val="0"/>
                    <w:snapToGrid w:val="0"/>
                    <w:jc w:val="center"/>
                    <w:rPr>
                      <w:snapToGrid w:val="0"/>
                      <w:kern w:val="18"/>
                      <w:szCs w:val="21"/>
                    </w:rPr>
                  </w:pPr>
                  <w:r>
                    <w:rPr>
                      <w:snapToGrid w:val="0"/>
                      <w:kern w:val="18"/>
                      <w:szCs w:val="21"/>
                    </w:rPr>
                    <w:t>≤4（6）*</w:t>
                  </w:r>
                </w:p>
              </w:tc>
              <w:tc>
                <w:tcPr>
                  <w:tcW w:w="2567" w:type="pct"/>
                  <w:vMerge w:val="continue"/>
                  <w:noWrap w:val="0"/>
                  <w:vAlign w:val="center"/>
                </w:tcPr>
                <w:p>
                  <w:pPr>
                    <w:adjustRightInd w:val="0"/>
                    <w:snapToGrid w:val="0"/>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601" w:type="pct"/>
                  <w:noWrap w:val="0"/>
                  <w:vAlign w:val="center"/>
                </w:tcPr>
                <w:p>
                  <w:pPr>
                    <w:adjustRightInd w:val="0"/>
                    <w:snapToGrid w:val="0"/>
                    <w:jc w:val="center"/>
                    <w:rPr>
                      <w:rFonts w:hint="eastAsia"/>
                      <w:szCs w:val="21"/>
                    </w:rPr>
                  </w:pPr>
                  <w:r>
                    <w:rPr>
                      <w:rFonts w:hint="eastAsia"/>
                      <w:szCs w:val="21"/>
                    </w:rPr>
                    <w:t>6</w:t>
                  </w:r>
                </w:p>
              </w:tc>
              <w:tc>
                <w:tcPr>
                  <w:tcW w:w="801" w:type="pct"/>
                  <w:noWrap w:val="0"/>
                  <w:vAlign w:val="center"/>
                </w:tcPr>
                <w:p>
                  <w:pPr>
                    <w:adjustRightInd w:val="0"/>
                    <w:snapToGrid w:val="0"/>
                    <w:jc w:val="center"/>
                    <w:rPr>
                      <w:snapToGrid w:val="0"/>
                      <w:kern w:val="18"/>
                      <w:szCs w:val="21"/>
                    </w:rPr>
                  </w:pPr>
                  <w:r>
                    <w:rPr>
                      <w:snapToGrid w:val="0"/>
                      <w:kern w:val="18"/>
                      <w:szCs w:val="21"/>
                    </w:rPr>
                    <w:t>TP</w:t>
                  </w:r>
                </w:p>
              </w:tc>
              <w:tc>
                <w:tcPr>
                  <w:tcW w:w="1029" w:type="pct"/>
                  <w:noWrap w:val="0"/>
                  <w:vAlign w:val="center"/>
                </w:tcPr>
                <w:p>
                  <w:pPr>
                    <w:adjustRightInd w:val="0"/>
                    <w:snapToGrid w:val="0"/>
                    <w:jc w:val="center"/>
                    <w:rPr>
                      <w:snapToGrid w:val="0"/>
                      <w:kern w:val="18"/>
                      <w:szCs w:val="21"/>
                    </w:rPr>
                  </w:pPr>
                  <w:r>
                    <w:rPr>
                      <w:snapToGrid w:val="0"/>
                      <w:kern w:val="18"/>
                      <w:szCs w:val="21"/>
                    </w:rPr>
                    <w:t>≤0.5</w:t>
                  </w:r>
                </w:p>
              </w:tc>
              <w:tc>
                <w:tcPr>
                  <w:tcW w:w="2567" w:type="pct"/>
                  <w:vMerge w:val="continue"/>
                  <w:noWrap w:val="0"/>
                  <w:vAlign w:val="center"/>
                </w:tcPr>
                <w:p>
                  <w:pPr>
                    <w:adjustRightInd w:val="0"/>
                    <w:snapToGrid w:val="0"/>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601" w:type="pct"/>
                  <w:noWrap w:val="0"/>
                  <w:vAlign w:val="center"/>
                </w:tcPr>
                <w:p>
                  <w:pPr>
                    <w:adjustRightInd w:val="0"/>
                    <w:snapToGrid w:val="0"/>
                    <w:jc w:val="center"/>
                    <w:rPr>
                      <w:rFonts w:hint="eastAsia"/>
                      <w:szCs w:val="21"/>
                    </w:rPr>
                  </w:pPr>
                  <w:r>
                    <w:rPr>
                      <w:rFonts w:hint="eastAsia"/>
                      <w:szCs w:val="21"/>
                    </w:rPr>
                    <w:t>7</w:t>
                  </w:r>
                </w:p>
              </w:tc>
              <w:tc>
                <w:tcPr>
                  <w:tcW w:w="801" w:type="pct"/>
                  <w:noWrap w:val="0"/>
                  <w:vAlign w:val="center"/>
                </w:tcPr>
                <w:p>
                  <w:pPr>
                    <w:adjustRightInd w:val="0"/>
                    <w:snapToGrid w:val="0"/>
                    <w:jc w:val="center"/>
                    <w:rPr>
                      <w:rFonts w:hint="eastAsia"/>
                      <w:snapToGrid w:val="0"/>
                      <w:kern w:val="18"/>
                      <w:szCs w:val="21"/>
                    </w:rPr>
                  </w:pPr>
                  <w:r>
                    <w:rPr>
                      <w:rFonts w:hint="eastAsia"/>
                      <w:snapToGrid w:val="0"/>
                      <w:kern w:val="18"/>
                      <w:szCs w:val="21"/>
                    </w:rPr>
                    <w:t>TN</w:t>
                  </w:r>
                </w:p>
              </w:tc>
              <w:tc>
                <w:tcPr>
                  <w:tcW w:w="1029" w:type="pct"/>
                  <w:noWrap w:val="0"/>
                  <w:vAlign w:val="center"/>
                </w:tcPr>
                <w:p>
                  <w:pPr>
                    <w:adjustRightInd w:val="0"/>
                    <w:snapToGrid w:val="0"/>
                    <w:jc w:val="center"/>
                    <w:rPr>
                      <w:snapToGrid w:val="0"/>
                      <w:kern w:val="18"/>
                      <w:szCs w:val="21"/>
                    </w:rPr>
                  </w:pPr>
                  <w:r>
                    <w:rPr>
                      <w:snapToGrid w:val="0"/>
                      <w:kern w:val="18"/>
                      <w:szCs w:val="21"/>
                    </w:rPr>
                    <w:t>≤</w:t>
                  </w:r>
                  <w:r>
                    <w:rPr>
                      <w:rFonts w:hint="eastAsia"/>
                      <w:snapToGrid w:val="0"/>
                      <w:kern w:val="18"/>
                      <w:szCs w:val="21"/>
                    </w:rPr>
                    <w:t>12（15）*</w:t>
                  </w:r>
                </w:p>
              </w:tc>
              <w:tc>
                <w:tcPr>
                  <w:tcW w:w="2567" w:type="pct"/>
                  <w:vMerge w:val="continue"/>
                  <w:noWrap w:val="0"/>
                  <w:vAlign w:val="center"/>
                </w:tcPr>
                <w:p>
                  <w:pPr>
                    <w:adjustRightInd w:val="0"/>
                    <w:snapToGrid w:val="0"/>
                    <w:rPr>
                      <w:szCs w:val="21"/>
                    </w:rPr>
                  </w:pPr>
                </w:p>
              </w:tc>
            </w:tr>
          </w:tbl>
          <w:p>
            <w:pPr>
              <w:adjustRightInd w:val="0"/>
              <w:snapToGrid w:val="0"/>
              <w:jc w:val="left"/>
              <w:rPr>
                <w:b/>
                <w:bCs/>
                <w:sz w:val="18"/>
                <w:szCs w:val="18"/>
              </w:rPr>
            </w:pPr>
            <w:r>
              <w:rPr>
                <w:b/>
                <w:bCs/>
                <w:sz w:val="18"/>
                <w:szCs w:val="18"/>
              </w:rPr>
              <w:t>注</w:t>
            </w:r>
            <w:r>
              <w:rPr>
                <w:rFonts w:hint="eastAsia"/>
                <w:b/>
                <w:bCs/>
                <w:sz w:val="18"/>
                <w:szCs w:val="18"/>
              </w:rPr>
              <w:t>*</w:t>
            </w:r>
            <w:r>
              <w:rPr>
                <w:b/>
                <w:bCs/>
                <w:sz w:val="18"/>
                <w:szCs w:val="18"/>
              </w:rPr>
              <w:t>：括号外数值为水温＞12℃时的控制指标，括号内数值为水温≤12℃时的控制指标。</w:t>
            </w:r>
          </w:p>
          <w:p>
            <w:pPr>
              <w:adjustRightInd w:val="0"/>
              <w:snapToGrid w:val="0"/>
              <w:spacing w:before="120" w:beforeLines="50" w:line="360" w:lineRule="auto"/>
              <w:rPr>
                <w:b/>
                <w:bCs/>
                <w:sz w:val="24"/>
              </w:rPr>
            </w:pPr>
            <w:r>
              <w:rPr>
                <w:rFonts w:hint="eastAsia"/>
                <w:b/>
                <w:bCs/>
                <w:sz w:val="24"/>
                <w:lang w:val="en-US" w:eastAsia="zh-CN"/>
              </w:rPr>
              <w:t>2</w:t>
            </w:r>
            <w:r>
              <w:rPr>
                <w:rFonts w:hint="eastAsia"/>
                <w:b/>
                <w:bCs/>
                <w:sz w:val="24"/>
              </w:rPr>
              <w:t>、</w:t>
            </w:r>
            <w:r>
              <w:rPr>
                <w:b/>
                <w:bCs/>
                <w:sz w:val="24"/>
              </w:rPr>
              <w:t>噪声</w:t>
            </w:r>
            <w:r>
              <w:rPr>
                <w:rFonts w:hint="eastAsia"/>
                <w:b/>
                <w:bCs/>
                <w:sz w:val="24"/>
              </w:rPr>
              <w:t>排放标准</w:t>
            </w:r>
          </w:p>
          <w:p>
            <w:pPr>
              <w:adjustRightInd w:val="0"/>
              <w:snapToGrid w:val="0"/>
              <w:spacing w:line="324" w:lineRule="auto"/>
              <w:ind w:firstLine="480" w:firstLineChars="200"/>
              <w:rPr>
                <w:b/>
                <w:kern w:val="0"/>
                <w:sz w:val="24"/>
                <w:lang w:bidi="ar"/>
              </w:rPr>
            </w:pPr>
            <w:r>
              <w:rPr>
                <w:rFonts w:hint="eastAsia" w:ascii="Times New Roman" w:hAnsi="Times New Roman" w:eastAsia="宋体" w:cs="Times New Roman"/>
                <w:sz w:val="24"/>
              </w:rPr>
              <w:t>营运期项目厂界噪声执行《工业企业厂界环境噪声排放标准》（GB12348-2008）表中2类标准。具体限值见表3-</w:t>
            </w:r>
            <w:r>
              <w:rPr>
                <w:rFonts w:hint="eastAsia" w:ascii="Times New Roman" w:hAnsi="Times New Roman" w:eastAsia="宋体" w:cs="Times New Roman"/>
                <w:sz w:val="24"/>
                <w:lang w:val="en-US" w:eastAsia="zh-CN"/>
              </w:rPr>
              <w:t>7</w:t>
            </w:r>
            <w:r>
              <w:rPr>
                <w:rFonts w:hint="eastAsia" w:ascii="Times New Roman" w:hAnsi="Times New Roman" w:eastAsia="宋体" w:cs="Times New Roman"/>
                <w:sz w:val="24"/>
              </w:rPr>
              <w:t>。</w:t>
            </w:r>
          </w:p>
          <w:p>
            <w:pPr>
              <w:tabs>
                <w:tab w:val="left" w:pos="1367"/>
              </w:tabs>
              <w:ind w:firstLine="482" w:firstLineChars="200"/>
              <w:jc w:val="center"/>
              <w:rPr>
                <w:b/>
                <w:kern w:val="0"/>
                <w:sz w:val="24"/>
                <w:lang w:bidi="ar"/>
              </w:rPr>
            </w:pPr>
            <w:r>
              <w:rPr>
                <w:b/>
                <w:kern w:val="0"/>
                <w:sz w:val="24"/>
                <w:lang w:bidi="ar"/>
              </w:rPr>
              <w:t>表3-</w:t>
            </w:r>
            <w:r>
              <w:rPr>
                <w:rFonts w:hint="eastAsia"/>
                <w:b/>
                <w:kern w:val="0"/>
                <w:sz w:val="24"/>
                <w:lang w:val="en-US" w:eastAsia="zh-CN" w:bidi="ar"/>
              </w:rPr>
              <w:t>7</w:t>
            </w:r>
            <w:r>
              <w:rPr>
                <w:rFonts w:hint="eastAsia"/>
                <w:b/>
                <w:kern w:val="0"/>
                <w:sz w:val="24"/>
                <w:lang w:bidi="ar"/>
              </w:rPr>
              <w:t xml:space="preserve"> </w:t>
            </w:r>
            <w:r>
              <w:rPr>
                <w:b/>
                <w:kern w:val="0"/>
                <w:sz w:val="24"/>
                <w:lang w:bidi="ar"/>
              </w:rPr>
              <w:t xml:space="preserve"> 工业企业厂界噪声排放限值  单位：dB(A)</w:t>
            </w:r>
          </w:p>
          <w:tbl>
            <w:tblPr>
              <w:tblStyle w:val="23"/>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08"/>
              <w:gridCol w:w="940"/>
              <w:gridCol w:w="972"/>
              <w:gridCol w:w="528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67" w:type="pct"/>
                  <w:noWrap w:val="0"/>
                  <w:vAlign w:val="center"/>
                </w:tcPr>
                <w:p>
                  <w:pPr>
                    <w:snapToGrid w:val="0"/>
                    <w:jc w:val="center"/>
                    <w:rPr>
                      <w:b/>
                      <w:spacing w:val="-6"/>
                      <w:szCs w:val="21"/>
                    </w:rPr>
                  </w:pPr>
                  <w:r>
                    <w:rPr>
                      <w:rFonts w:hint="eastAsia"/>
                      <w:b/>
                      <w:spacing w:val="-6"/>
                      <w:szCs w:val="21"/>
                    </w:rPr>
                    <w:t>类别</w:t>
                  </w:r>
                </w:p>
              </w:tc>
              <w:tc>
                <w:tcPr>
                  <w:tcW w:w="566" w:type="pct"/>
                  <w:noWrap w:val="0"/>
                  <w:vAlign w:val="center"/>
                </w:tcPr>
                <w:p>
                  <w:pPr>
                    <w:snapToGrid w:val="0"/>
                    <w:jc w:val="center"/>
                    <w:rPr>
                      <w:b/>
                      <w:spacing w:val="-6"/>
                      <w:szCs w:val="21"/>
                    </w:rPr>
                  </w:pPr>
                  <w:r>
                    <w:rPr>
                      <w:b/>
                      <w:spacing w:val="-6"/>
                      <w:szCs w:val="21"/>
                    </w:rPr>
                    <w:t>昼间</w:t>
                  </w:r>
                </w:p>
              </w:tc>
              <w:tc>
                <w:tcPr>
                  <w:tcW w:w="585" w:type="pct"/>
                  <w:noWrap w:val="0"/>
                  <w:vAlign w:val="center"/>
                </w:tcPr>
                <w:p>
                  <w:pPr>
                    <w:snapToGrid w:val="0"/>
                    <w:jc w:val="center"/>
                    <w:rPr>
                      <w:b/>
                      <w:spacing w:val="-6"/>
                      <w:szCs w:val="21"/>
                    </w:rPr>
                  </w:pPr>
                  <w:r>
                    <w:rPr>
                      <w:b/>
                      <w:spacing w:val="-6"/>
                      <w:szCs w:val="21"/>
                    </w:rPr>
                    <w:t>夜间</w:t>
                  </w:r>
                </w:p>
              </w:tc>
              <w:tc>
                <w:tcPr>
                  <w:tcW w:w="3181" w:type="pct"/>
                  <w:noWrap w:val="0"/>
                  <w:vAlign w:val="center"/>
                </w:tcPr>
                <w:p>
                  <w:pPr>
                    <w:snapToGrid w:val="0"/>
                    <w:jc w:val="center"/>
                    <w:rPr>
                      <w:b/>
                      <w:spacing w:val="-6"/>
                      <w:szCs w:val="21"/>
                    </w:rPr>
                  </w:pPr>
                  <w:r>
                    <w:rPr>
                      <w:b/>
                      <w:spacing w:val="-6"/>
                      <w:szCs w:val="21"/>
                    </w:rPr>
                    <w:t>限值来源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67" w:type="pct"/>
                  <w:noWrap w:val="0"/>
                  <w:vAlign w:val="center"/>
                </w:tcPr>
                <w:p>
                  <w:pPr>
                    <w:jc w:val="center"/>
                    <w:rPr>
                      <w:rFonts w:hint="eastAsia"/>
                      <w:szCs w:val="21"/>
                    </w:rPr>
                  </w:pPr>
                  <w:r>
                    <w:rPr>
                      <w:rFonts w:hint="eastAsia"/>
                      <w:szCs w:val="21"/>
                    </w:rPr>
                    <w:t>2</w:t>
                  </w:r>
                </w:p>
              </w:tc>
              <w:tc>
                <w:tcPr>
                  <w:tcW w:w="566" w:type="pct"/>
                  <w:noWrap w:val="0"/>
                  <w:vAlign w:val="center"/>
                </w:tcPr>
                <w:p>
                  <w:pPr>
                    <w:jc w:val="center"/>
                    <w:rPr>
                      <w:rFonts w:hint="eastAsia"/>
                      <w:szCs w:val="21"/>
                    </w:rPr>
                  </w:pPr>
                  <w:r>
                    <w:rPr>
                      <w:szCs w:val="21"/>
                    </w:rPr>
                    <w:t>6</w:t>
                  </w:r>
                  <w:r>
                    <w:rPr>
                      <w:rFonts w:hint="eastAsia"/>
                      <w:szCs w:val="21"/>
                    </w:rPr>
                    <w:t>0</w:t>
                  </w:r>
                </w:p>
              </w:tc>
              <w:tc>
                <w:tcPr>
                  <w:tcW w:w="585" w:type="pct"/>
                  <w:noWrap w:val="0"/>
                  <w:vAlign w:val="center"/>
                </w:tcPr>
                <w:p>
                  <w:pPr>
                    <w:jc w:val="center"/>
                    <w:rPr>
                      <w:rFonts w:hint="eastAsia"/>
                      <w:szCs w:val="21"/>
                    </w:rPr>
                  </w:pPr>
                  <w:r>
                    <w:rPr>
                      <w:szCs w:val="21"/>
                    </w:rPr>
                    <w:t>5</w:t>
                  </w:r>
                  <w:r>
                    <w:rPr>
                      <w:rFonts w:hint="eastAsia"/>
                      <w:szCs w:val="21"/>
                    </w:rPr>
                    <w:t>0</w:t>
                  </w:r>
                </w:p>
              </w:tc>
              <w:tc>
                <w:tcPr>
                  <w:tcW w:w="3181" w:type="pct"/>
                  <w:noWrap w:val="0"/>
                  <w:vAlign w:val="center"/>
                </w:tcPr>
                <w:p>
                  <w:pPr>
                    <w:rPr>
                      <w:szCs w:val="21"/>
                    </w:rPr>
                  </w:pPr>
                  <w:r>
                    <w:rPr>
                      <w:szCs w:val="21"/>
                    </w:rPr>
                    <w:t>《工业企业厂界环境噪声排放标准》（GB12348-2008）</w:t>
                  </w:r>
                </w:p>
              </w:tc>
            </w:tr>
          </w:tbl>
          <w:p>
            <w:pPr>
              <w:adjustRightInd w:val="0"/>
              <w:snapToGrid w:val="0"/>
              <w:spacing w:before="120" w:beforeLines="50" w:line="360" w:lineRule="auto"/>
              <w:rPr>
                <w:b/>
                <w:bCs/>
                <w:sz w:val="24"/>
              </w:rPr>
            </w:pPr>
            <w:r>
              <w:rPr>
                <w:rFonts w:hint="eastAsia"/>
                <w:b/>
                <w:bCs/>
                <w:sz w:val="24"/>
                <w:lang w:val="en-US" w:eastAsia="zh-CN"/>
              </w:rPr>
              <w:t>3</w:t>
            </w:r>
            <w:r>
              <w:rPr>
                <w:rFonts w:hint="eastAsia"/>
                <w:b/>
                <w:bCs/>
                <w:sz w:val="24"/>
              </w:rPr>
              <w:t>、固体污染物控制标准</w:t>
            </w:r>
          </w:p>
          <w:p>
            <w:pPr>
              <w:spacing w:line="360" w:lineRule="auto"/>
              <w:ind w:firstLine="480" w:firstLineChars="200"/>
              <w:rPr>
                <w:sz w:val="24"/>
              </w:rPr>
            </w:pPr>
            <w:r>
              <w:rPr>
                <w:sz w:val="24"/>
              </w:rPr>
              <w:t>一般</w:t>
            </w:r>
            <w:r>
              <w:rPr>
                <w:rFonts w:hint="eastAsia"/>
                <w:sz w:val="24"/>
              </w:rPr>
              <w:t>工业</w:t>
            </w:r>
            <w:r>
              <w:rPr>
                <w:sz w:val="24"/>
              </w:rPr>
              <w:t>固体废物执行《一般工业固体废物贮存和填埋污染控制标准》（GB18599-2020）中相关规定；危险废物执行《危险废物贮存污染控制标准》（GB18597-2001）及修改单（环保部公告2013年第36号）中标准要求；生活垃圾处理执行《城市生活垃圾处理及污染防治技术政策》（建城[2000]120号）等相关规定。</w:t>
            </w:r>
          </w:p>
          <w:p>
            <w:pPr>
              <w:spacing w:line="360" w:lineRule="auto"/>
              <w:ind w:firstLine="480" w:firstLineChars="200"/>
              <w:rPr>
                <w:sz w:val="24"/>
              </w:rPr>
            </w:pP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rFonts w:hint="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65" w:hRule="atLeast"/>
          <w:jc w:val="center"/>
        </w:trPr>
        <w:tc>
          <w:tcPr>
            <w:tcW w:w="465" w:type="dxa"/>
            <w:noWrap w:val="0"/>
            <w:vAlign w:val="center"/>
          </w:tcPr>
          <w:p>
            <w:pPr>
              <w:adjustRightInd w:val="0"/>
              <w:snapToGrid w:val="0"/>
              <w:jc w:val="center"/>
              <w:rPr>
                <w:kern w:val="0"/>
                <w:sz w:val="24"/>
              </w:rPr>
            </w:pPr>
            <w:r>
              <w:rPr>
                <w:kern w:val="0"/>
                <w:sz w:val="24"/>
              </w:rPr>
              <w:t>总量</w:t>
            </w:r>
          </w:p>
          <w:p>
            <w:pPr>
              <w:adjustRightInd w:val="0"/>
              <w:snapToGrid w:val="0"/>
              <w:jc w:val="center"/>
              <w:rPr>
                <w:kern w:val="0"/>
                <w:sz w:val="24"/>
              </w:rPr>
            </w:pPr>
            <w:r>
              <w:rPr>
                <w:kern w:val="0"/>
                <w:sz w:val="24"/>
              </w:rPr>
              <w:t>控制</w:t>
            </w:r>
          </w:p>
          <w:p>
            <w:pPr>
              <w:adjustRightInd w:val="0"/>
              <w:snapToGrid w:val="0"/>
              <w:jc w:val="center"/>
              <w:rPr>
                <w:color w:val="0000FF"/>
                <w:kern w:val="0"/>
                <w:sz w:val="24"/>
              </w:rPr>
            </w:pPr>
            <w:r>
              <w:rPr>
                <w:kern w:val="0"/>
                <w:sz w:val="24"/>
              </w:rPr>
              <w:t>指标</w:t>
            </w:r>
          </w:p>
        </w:tc>
        <w:tc>
          <w:tcPr>
            <w:tcW w:w="8525" w:type="dxa"/>
            <w:noWrap w:val="0"/>
            <w:vAlign w:val="center"/>
          </w:tcPr>
          <w:p>
            <w:pPr>
              <w:adjustRightInd w:val="0"/>
              <w:snapToGrid w:val="0"/>
              <w:spacing w:line="360" w:lineRule="auto"/>
              <w:ind w:firstLine="482" w:firstLineChars="200"/>
              <w:rPr>
                <w:b/>
                <w:bCs/>
                <w:sz w:val="24"/>
              </w:rPr>
            </w:pPr>
            <w:r>
              <w:rPr>
                <w:b/>
                <w:bCs/>
                <w:sz w:val="24"/>
              </w:rPr>
              <w:t>1、项目污染物总量排放情况</w:t>
            </w:r>
          </w:p>
          <w:p>
            <w:pPr>
              <w:spacing w:line="360" w:lineRule="auto"/>
              <w:ind w:firstLine="480" w:firstLineChars="200"/>
              <w:rPr>
                <w:sz w:val="24"/>
              </w:rPr>
            </w:pPr>
            <w:r>
              <w:rPr>
                <w:sz w:val="24"/>
              </w:rPr>
              <w:t>根据《江苏省排放污染物总量控制暂行规定》（省政府38号令）、《江苏省建设项目主要污染物排放总量区域平衡方案审核管理办法》（苏环办[2011]71号）及《关于加强建设项目烟粉尘、挥发性有机物准入审核的通知》（苏环办[2014]148号）等有关规定要求，结合项目排污特征，确定总量控制因子为：</w:t>
            </w:r>
          </w:p>
          <w:p>
            <w:pPr>
              <w:spacing w:line="360" w:lineRule="auto"/>
              <w:ind w:firstLine="480" w:firstLineChars="200"/>
              <w:rPr>
                <w:sz w:val="24"/>
              </w:rPr>
            </w:pPr>
            <w:r>
              <w:rPr>
                <w:sz w:val="24"/>
              </w:rPr>
              <w:t>废水：总量控制因子：COD、</w:t>
            </w:r>
            <w:r>
              <w:rPr>
                <w:rFonts w:hint="eastAsia"/>
                <w:sz w:val="24"/>
              </w:rPr>
              <w:t>NH</w:t>
            </w:r>
            <w:r>
              <w:rPr>
                <w:rFonts w:hint="eastAsia"/>
                <w:sz w:val="24"/>
                <w:vertAlign w:val="subscript"/>
              </w:rPr>
              <w:t>3</w:t>
            </w:r>
            <w:r>
              <w:rPr>
                <w:rFonts w:hint="eastAsia"/>
                <w:sz w:val="24"/>
              </w:rPr>
              <w:t>-N</w:t>
            </w:r>
            <w:r>
              <w:rPr>
                <w:sz w:val="24"/>
              </w:rPr>
              <w:t>；特征考核因子：</w:t>
            </w:r>
            <w:r>
              <w:rPr>
                <w:rFonts w:hint="eastAsia"/>
                <w:sz w:val="24"/>
                <w:lang w:val="en-US" w:eastAsia="zh-CN"/>
              </w:rPr>
              <w:t>无</w:t>
            </w:r>
            <w:r>
              <w:rPr>
                <w:sz w:val="24"/>
              </w:rPr>
              <w:t>；</w:t>
            </w:r>
          </w:p>
          <w:p>
            <w:pPr>
              <w:spacing w:line="360" w:lineRule="auto"/>
              <w:ind w:firstLine="480" w:firstLineChars="200"/>
              <w:rPr>
                <w:sz w:val="24"/>
              </w:rPr>
            </w:pPr>
            <w:r>
              <w:rPr>
                <w:sz w:val="24"/>
              </w:rPr>
              <w:t>废气：总量控制因子：</w:t>
            </w:r>
            <w:r>
              <w:rPr>
                <w:rFonts w:hint="eastAsia"/>
                <w:sz w:val="24"/>
                <w:lang w:val="en-US" w:eastAsia="zh-CN"/>
              </w:rPr>
              <w:t>无</w:t>
            </w:r>
            <w:r>
              <w:rPr>
                <w:sz w:val="24"/>
              </w:rPr>
              <w:t>；</w:t>
            </w:r>
          </w:p>
          <w:p>
            <w:pPr>
              <w:spacing w:line="360" w:lineRule="auto"/>
              <w:ind w:firstLine="480" w:firstLineChars="200"/>
              <w:rPr>
                <w:sz w:val="24"/>
              </w:rPr>
            </w:pPr>
            <w:r>
              <w:rPr>
                <w:sz w:val="24"/>
              </w:rPr>
              <w:t>固废：工业固体废物排放量。</w:t>
            </w:r>
          </w:p>
          <w:p>
            <w:pPr>
              <w:spacing w:line="360" w:lineRule="auto"/>
              <w:ind w:firstLine="480" w:firstLineChars="200"/>
              <w:rPr>
                <w:sz w:val="24"/>
              </w:rPr>
            </w:pPr>
            <w:r>
              <w:rPr>
                <w:sz w:val="24"/>
              </w:rPr>
              <w:t>本项目新增污染物排放量总量详见下表：</w:t>
            </w:r>
          </w:p>
          <w:p>
            <w:pPr>
              <w:adjustRightInd w:val="0"/>
              <w:snapToGrid w:val="0"/>
              <w:ind w:firstLine="482" w:firstLineChars="200"/>
              <w:jc w:val="center"/>
              <w:rPr>
                <w:b/>
                <w:sz w:val="24"/>
                <w:highlight w:val="none"/>
              </w:rPr>
            </w:pPr>
            <w:r>
              <w:rPr>
                <w:b/>
                <w:sz w:val="24"/>
                <w:highlight w:val="none"/>
              </w:rPr>
              <w:t>表</w:t>
            </w:r>
            <w:r>
              <w:rPr>
                <w:rFonts w:hint="eastAsia"/>
                <w:b/>
                <w:sz w:val="24"/>
                <w:highlight w:val="none"/>
              </w:rPr>
              <w:t>3-</w:t>
            </w:r>
            <w:r>
              <w:rPr>
                <w:rFonts w:hint="eastAsia"/>
                <w:b/>
                <w:sz w:val="24"/>
                <w:highlight w:val="none"/>
                <w:lang w:val="en-US" w:eastAsia="zh-CN"/>
              </w:rPr>
              <w:t>8</w:t>
            </w:r>
            <w:r>
              <w:rPr>
                <w:b/>
                <w:sz w:val="24"/>
                <w:highlight w:val="none"/>
              </w:rPr>
              <w:t xml:space="preserve">  </w:t>
            </w:r>
            <w:r>
              <w:rPr>
                <w:b/>
                <w:bCs/>
                <w:sz w:val="24"/>
                <w:highlight w:val="none"/>
              </w:rPr>
              <w:t>项目污染物排放总量表</w:t>
            </w:r>
          </w:p>
          <w:tbl>
            <w:tblPr>
              <w:tblStyle w:val="23"/>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643"/>
              <w:gridCol w:w="2018"/>
              <w:gridCol w:w="1365"/>
              <w:gridCol w:w="1188"/>
              <w:gridCol w:w="1270"/>
              <w:gridCol w:w="18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3" w:type="dxa"/>
                  <w:vMerge w:val="restart"/>
                  <w:noWrap w:val="0"/>
                  <w:vAlign w:val="center"/>
                </w:tcPr>
                <w:p>
                  <w:pPr>
                    <w:adjustRightInd w:val="0"/>
                    <w:snapToGrid w:val="0"/>
                    <w:jc w:val="center"/>
                    <w:rPr>
                      <w:b/>
                      <w:bCs/>
                      <w:szCs w:val="21"/>
                    </w:rPr>
                  </w:pPr>
                  <w:r>
                    <w:rPr>
                      <w:b/>
                      <w:bCs/>
                      <w:szCs w:val="21"/>
                    </w:rPr>
                    <w:t>类别</w:t>
                  </w:r>
                </w:p>
              </w:tc>
              <w:tc>
                <w:tcPr>
                  <w:tcW w:w="2018" w:type="dxa"/>
                  <w:vMerge w:val="restart"/>
                  <w:noWrap w:val="0"/>
                  <w:vAlign w:val="center"/>
                </w:tcPr>
                <w:p>
                  <w:pPr>
                    <w:adjustRightInd w:val="0"/>
                    <w:snapToGrid w:val="0"/>
                    <w:jc w:val="center"/>
                    <w:rPr>
                      <w:b/>
                      <w:bCs/>
                      <w:szCs w:val="21"/>
                    </w:rPr>
                  </w:pPr>
                  <w:r>
                    <w:rPr>
                      <w:b/>
                      <w:bCs/>
                      <w:szCs w:val="21"/>
                    </w:rPr>
                    <w:t>污染物名称</w:t>
                  </w:r>
                </w:p>
              </w:tc>
              <w:tc>
                <w:tcPr>
                  <w:tcW w:w="1365" w:type="dxa"/>
                  <w:vMerge w:val="restart"/>
                  <w:noWrap w:val="0"/>
                  <w:vAlign w:val="center"/>
                </w:tcPr>
                <w:p>
                  <w:pPr>
                    <w:adjustRightInd w:val="0"/>
                    <w:snapToGrid w:val="0"/>
                    <w:jc w:val="center"/>
                    <w:rPr>
                      <w:b/>
                      <w:bCs/>
                      <w:szCs w:val="21"/>
                    </w:rPr>
                  </w:pPr>
                  <w:r>
                    <w:rPr>
                      <w:b/>
                      <w:bCs/>
                      <w:szCs w:val="21"/>
                    </w:rPr>
                    <w:t>产生量</w:t>
                  </w:r>
                  <w:r>
                    <w:rPr>
                      <w:rFonts w:hint="eastAsia"/>
                      <w:b/>
                      <w:bCs/>
                      <w:szCs w:val="21"/>
                    </w:rPr>
                    <w:t>（</w:t>
                  </w:r>
                  <w:r>
                    <w:rPr>
                      <w:b/>
                      <w:sz w:val="24"/>
                    </w:rPr>
                    <w:t>t/a</w:t>
                  </w:r>
                  <w:r>
                    <w:rPr>
                      <w:rFonts w:hint="eastAsia"/>
                      <w:b/>
                      <w:sz w:val="24"/>
                    </w:rPr>
                    <w:t>）</w:t>
                  </w:r>
                </w:p>
              </w:tc>
              <w:tc>
                <w:tcPr>
                  <w:tcW w:w="1188" w:type="dxa"/>
                  <w:vMerge w:val="restart"/>
                  <w:noWrap w:val="0"/>
                  <w:vAlign w:val="center"/>
                </w:tcPr>
                <w:p>
                  <w:pPr>
                    <w:adjustRightInd w:val="0"/>
                    <w:snapToGrid w:val="0"/>
                    <w:jc w:val="center"/>
                    <w:rPr>
                      <w:b/>
                      <w:bCs/>
                      <w:szCs w:val="21"/>
                    </w:rPr>
                  </w:pPr>
                  <w:r>
                    <w:rPr>
                      <w:b/>
                      <w:bCs/>
                      <w:szCs w:val="21"/>
                    </w:rPr>
                    <w:t>削减量</w:t>
                  </w:r>
                  <w:r>
                    <w:rPr>
                      <w:rFonts w:hint="eastAsia"/>
                      <w:b/>
                      <w:bCs/>
                      <w:szCs w:val="21"/>
                    </w:rPr>
                    <w:t>（</w:t>
                  </w:r>
                  <w:r>
                    <w:rPr>
                      <w:b/>
                      <w:sz w:val="24"/>
                    </w:rPr>
                    <w:t>t/a</w:t>
                  </w:r>
                  <w:r>
                    <w:rPr>
                      <w:rFonts w:hint="eastAsia"/>
                      <w:b/>
                      <w:sz w:val="24"/>
                    </w:rPr>
                    <w:t>）</w:t>
                  </w:r>
                </w:p>
              </w:tc>
              <w:tc>
                <w:tcPr>
                  <w:tcW w:w="3087" w:type="dxa"/>
                  <w:gridSpan w:val="2"/>
                  <w:noWrap w:val="0"/>
                  <w:vAlign w:val="center"/>
                </w:tcPr>
                <w:p>
                  <w:pPr>
                    <w:adjustRightInd w:val="0"/>
                    <w:snapToGrid w:val="0"/>
                    <w:jc w:val="center"/>
                    <w:rPr>
                      <w:b/>
                      <w:bCs/>
                      <w:szCs w:val="21"/>
                    </w:rPr>
                  </w:pPr>
                  <w:r>
                    <w:rPr>
                      <w:rFonts w:hint="eastAsia"/>
                      <w:b/>
                      <w:bCs/>
                      <w:szCs w:val="21"/>
                    </w:rPr>
                    <w:t>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3" w:type="dxa"/>
                  <w:vMerge w:val="continue"/>
                  <w:noWrap w:val="0"/>
                  <w:vAlign w:val="center"/>
                </w:tcPr>
                <w:p>
                  <w:pPr>
                    <w:adjustRightInd w:val="0"/>
                    <w:snapToGrid w:val="0"/>
                    <w:jc w:val="center"/>
                    <w:rPr>
                      <w:b/>
                      <w:bCs/>
                      <w:szCs w:val="21"/>
                    </w:rPr>
                  </w:pPr>
                </w:p>
              </w:tc>
              <w:tc>
                <w:tcPr>
                  <w:tcW w:w="2018" w:type="dxa"/>
                  <w:vMerge w:val="continue"/>
                  <w:noWrap w:val="0"/>
                  <w:vAlign w:val="center"/>
                </w:tcPr>
                <w:p>
                  <w:pPr>
                    <w:adjustRightInd w:val="0"/>
                    <w:snapToGrid w:val="0"/>
                    <w:jc w:val="center"/>
                    <w:rPr>
                      <w:b/>
                      <w:bCs/>
                      <w:szCs w:val="21"/>
                    </w:rPr>
                  </w:pPr>
                </w:p>
              </w:tc>
              <w:tc>
                <w:tcPr>
                  <w:tcW w:w="1365" w:type="dxa"/>
                  <w:vMerge w:val="continue"/>
                  <w:noWrap w:val="0"/>
                  <w:vAlign w:val="center"/>
                </w:tcPr>
                <w:p>
                  <w:pPr>
                    <w:adjustRightInd w:val="0"/>
                    <w:snapToGrid w:val="0"/>
                    <w:jc w:val="center"/>
                    <w:rPr>
                      <w:b/>
                      <w:bCs/>
                      <w:szCs w:val="21"/>
                    </w:rPr>
                  </w:pPr>
                </w:p>
              </w:tc>
              <w:tc>
                <w:tcPr>
                  <w:tcW w:w="1188" w:type="dxa"/>
                  <w:vMerge w:val="continue"/>
                  <w:noWrap w:val="0"/>
                  <w:vAlign w:val="center"/>
                </w:tcPr>
                <w:p>
                  <w:pPr>
                    <w:adjustRightInd w:val="0"/>
                    <w:snapToGrid w:val="0"/>
                    <w:jc w:val="center"/>
                    <w:rPr>
                      <w:b/>
                      <w:bCs/>
                      <w:szCs w:val="21"/>
                    </w:rPr>
                  </w:pPr>
                </w:p>
              </w:tc>
              <w:tc>
                <w:tcPr>
                  <w:tcW w:w="1270" w:type="dxa"/>
                  <w:noWrap w:val="0"/>
                  <w:vAlign w:val="center"/>
                </w:tcPr>
                <w:p>
                  <w:pPr>
                    <w:adjustRightInd w:val="0"/>
                    <w:snapToGrid w:val="0"/>
                    <w:jc w:val="center"/>
                    <w:rPr>
                      <w:rFonts w:hint="eastAsia"/>
                      <w:b/>
                      <w:bCs/>
                      <w:szCs w:val="21"/>
                    </w:rPr>
                  </w:pPr>
                  <w:r>
                    <w:rPr>
                      <w:rFonts w:hint="eastAsia"/>
                      <w:b/>
                      <w:bCs/>
                      <w:szCs w:val="21"/>
                    </w:rPr>
                    <w:t>接管量（</w:t>
                  </w:r>
                  <w:r>
                    <w:rPr>
                      <w:b/>
                      <w:sz w:val="24"/>
                    </w:rPr>
                    <w:t>t/a</w:t>
                  </w:r>
                  <w:r>
                    <w:rPr>
                      <w:rFonts w:hint="eastAsia"/>
                      <w:b/>
                      <w:sz w:val="24"/>
                    </w:rPr>
                    <w:t>）</w:t>
                  </w:r>
                </w:p>
              </w:tc>
              <w:tc>
                <w:tcPr>
                  <w:tcW w:w="1817" w:type="dxa"/>
                  <w:noWrap w:val="0"/>
                  <w:vAlign w:val="center"/>
                </w:tcPr>
                <w:p>
                  <w:pPr>
                    <w:adjustRightInd w:val="0"/>
                    <w:snapToGrid w:val="0"/>
                    <w:jc w:val="center"/>
                    <w:rPr>
                      <w:b/>
                      <w:bCs/>
                      <w:szCs w:val="21"/>
                    </w:rPr>
                  </w:pPr>
                  <w:r>
                    <w:rPr>
                      <w:rFonts w:hint="eastAsia"/>
                      <w:b/>
                      <w:bCs/>
                      <w:szCs w:val="21"/>
                    </w:rPr>
                    <w:t>排入外环境</w:t>
                  </w:r>
                  <w:r>
                    <w:rPr>
                      <w:b/>
                      <w:bCs/>
                      <w:szCs w:val="21"/>
                    </w:rPr>
                    <w:t>量</w:t>
                  </w:r>
                  <w:r>
                    <w:rPr>
                      <w:rFonts w:hint="eastAsia"/>
                      <w:b/>
                      <w:bCs/>
                      <w:szCs w:val="21"/>
                    </w:rPr>
                    <w:t>（</w:t>
                  </w:r>
                  <w:r>
                    <w:rPr>
                      <w:b/>
                      <w:sz w:val="24"/>
                    </w:rPr>
                    <w:t>t/a</w:t>
                  </w:r>
                  <w:r>
                    <w:rPr>
                      <w:rFonts w:hint="eastAsia"/>
                      <w:b/>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废气</w:t>
                  </w:r>
                </w:p>
              </w:tc>
              <w:tc>
                <w:tcPr>
                  <w:tcW w:w="2018" w:type="dxa"/>
                  <w:noWrap w:val="0"/>
                  <w:vAlign w:val="center"/>
                </w:tcPr>
                <w:p>
                  <w:pPr>
                    <w:snapToGrid w:val="0"/>
                    <w:jc w:val="center"/>
                    <w:rPr>
                      <w:rFonts w:hint="eastAsia" w:eastAsia="宋体"/>
                      <w:position w:val="2"/>
                      <w:szCs w:val="21"/>
                      <w:lang w:val="en-US" w:eastAsia="zh-CN"/>
                    </w:rPr>
                  </w:pPr>
                  <w:r>
                    <w:rPr>
                      <w:rFonts w:hint="eastAsia"/>
                      <w:position w:val="2"/>
                      <w:szCs w:val="21"/>
                      <w:lang w:val="en-US" w:eastAsia="zh-CN"/>
                    </w:rPr>
                    <w:t>/</w:t>
                  </w:r>
                </w:p>
              </w:tc>
              <w:tc>
                <w:tcPr>
                  <w:tcW w:w="1365" w:type="dxa"/>
                  <w:noWrap w:val="0"/>
                  <w:vAlign w:val="center"/>
                </w:tcPr>
                <w:p>
                  <w:pPr>
                    <w:widowControl/>
                    <w:jc w:val="center"/>
                    <w:textAlignment w:val="center"/>
                    <w:rPr>
                      <w:rFonts w:hint="default" w:eastAsia="宋体"/>
                      <w:kern w:val="0"/>
                      <w:szCs w:val="21"/>
                      <w:lang w:val="en-US" w:eastAsia="zh-CN" w:bidi="ar"/>
                    </w:rPr>
                  </w:pPr>
                  <w:r>
                    <w:rPr>
                      <w:rFonts w:hint="eastAsia"/>
                      <w:kern w:val="0"/>
                      <w:szCs w:val="21"/>
                      <w:lang w:val="en-US" w:eastAsia="zh-CN" w:bidi="ar"/>
                    </w:rPr>
                    <w:t>0</w:t>
                  </w:r>
                </w:p>
              </w:tc>
              <w:tc>
                <w:tcPr>
                  <w:tcW w:w="1188" w:type="dxa"/>
                  <w:noWrap w:val="0"/>
                  <w:vAlign w:val="center"/>
                </w:tcPr>
                <w:p>
                  <w:pPr>
                    <w:widowControl/>
                    <w:jc w:val="center"/>
                    <w:textAlignment w:val="center"/>
                    <w:rPr>
                      <w:rFonts w:hint="eastAsia"/>
                      <w:kern w:val="0"/>
                      <w:szCs w:val="21"/>
                      <w:lang w:bidi="ar"/>
                    </w:rPr>
                  </w:pPr>
                  <w:r>
                    <w:rPr>
                      <w:rFonts w:hint="eastAsia"/>
                      <w:kern w:val="0"/>
                      <w:szCs w:val="21"/>
                      <w:lang w:bidi="ar"/>
                    </w:rPr>
                    <w:t>0</w:t>
                  </w:r>
                </w:p>
              </w:tc>
              <w:tc>
                <w:tcPr>
                  <w:tcW w:w="1270" w:type="dxa"/>
                  <w:noWrap w:val="0"/>
                  <w:vAlign w:val="center"/>
                </w:tcPr>
                <w:p>
                  <w:pPr>
                    <w:widowControl/>
                    <w:jc w:val="center"/>
                    <w:textAlignment w:val="center"/>
                    <w:rPr>
                      <w:kern w:val="0"/>
                      <w:szCs w:val="21"/>
                      <w:lang w:bidi="ar"/>
                    </w:rPr>
                  </w:pPr>
                  <w:r>
                    <w:rPr>
                      <w:rFonts w:hint="eastAsia"/>
                      <w:kern w:val="0"/>
                      <w:szCs w:val="21"/>
                      <w:lang w:bidi="ar"/>
                    </w:rPr>
                    <w:t>/</w:t>
                  </w:r>
                </w:p>
              </w:tc>
              <w:tc>
                <w:tcPr>
                  <w:tcW w:w="1817" w:type="dxa"/>
                  <w:noWrap w:val="0"/>
                  <w:vAlign w:val="center"/>
                </w:tcPr>
                <w:p>
                  <w:pPr>
                    <w:widowControl/>
                    <w:jc w:val="center"/>
                    <w:textAlignment w:val="center"/>
                    <w:rPr>
                      <w:rFonts w:hint="eastAsia" w:eastAsia="宋体"/>
                      <w:kern w:val="0"/>
                      <w:szCs w:val="21"/>
                      <w:lang w:eastAsia="zh-CN" w:bidi="ar"/>
                    </w:rPr>
                  </w:pPr>
                  <w:r>
                    <w:rPr>
                      <w:rFonts w:hint="eastAsia" w:eastAsia="宋体"/>
                      <w:kern w:val="0"/>
                      <w:szCs w:val="21"/>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3" w:type="dxa"/>
                  <w:vMerge w:val="restart"/>
                  <w:noWrap w:val="0"/>
                  <w:vAlign w:val="center"/>
                </w:tcPr>
                <w:p>
                  <w:pPr>
                    <w:adjustRightInd w:val="0"/>
                    <w:snapToGrid w:val="0"/>
                    <w:jc w:val="center"/>
                    <w:rPr>
                      <w:szCs w:val="21"/>
                    </w:rPr>
                  </w:pPr>
                  <w:r>
                    <w:rPr>
                      <w:szCs w:val="21"/>
                    </w:rPr>
                    <w:t>废水</w:t>
                  </w:r>
                </w:p>
              </w:tc>
              <w:tc>
                <w:tcPr>
                  <w:tcW w:w="2018" w:type="dxa"/>
                  <w:noWrap w:val="0"/>
                  <w:vAlign w:val="center"/>
                </w:tcPr>
                <w:p>
                  <w:pPr>
                    <w:widowControl/>
                    <w:jc w:val="center"/>
                    <w:textAlignment w:val="center"/>
                    <w:rPr>
                      <w:szCs w:val="21"/>
                    </w:rPr>
                  </w:pPr>
                  <w:r>
                    <w:rPr>
                      <w:kern w:val="0"/>
                      <w:szCs w:val="21"/>
                      <w:lang w:bidi="ar"/>
                    </w:rPr>
                    <w:t>废水量</w:t>
                  </w:r>
                </w:p>
              </w:tc>
              <w:tc>
                <w:tcPr>
                  <w:tcW w:w="1365" w:type="dxa"/>
                  <w:noWrap w:val="0"/>
                  <w:vAlign w:val="center"/>
                </w:tcPr>
                <w:p>
                  <w:pPr>
                    <w:widowControl/>
                    <w:jc w:val="center"/>
                    <w:textAlignment w:val="center"/>
                    <w:rPr>
                      <w:rFonts w:hint="default" w:eastAsia="宋体"/>
                      <w:kern w:val="0"/>
                      <w:szCs w:val="21"/>
                      <w:lang w:val="en-US" w:eastAsia="zh-CN" w:bidi="ar"/>
                    </w:rPr>
                  </w:pPr>
                  <w:r>
                    <w:rPr>
                      <w:rFonts w:hint="eastAsia"/>
                      <w:kern w:val="0"/>
                      <w:szCs w:val="21"/>
                      <w:lang w:val="en-US" w:eastAsia="zh-CN" w:bidi="ar"/>
                    </w:rPr>
                    <w:t>381.9</w:t>
                  </w:r>
                </w:p>
              </w:tc>
              <w:tc>
                <w:tcPr>
                  <w:tcW w:w="1188" w:type="dxa"/>
                  <w:noWrap w:val="0"/>
                  <w:vAlign w:val="center"/>
                </w:tcPr>
                <w:p>
                  <w:pPr>
                    <w:widowControl/>
                    <w:jc w:val="center"/>
                    <w:textAlignment w:val="center"/>
                    <w:rPr>
                      <w:rFonts w:hint="eastAsia"/>
                      <w:kern w:val="0"/>
                      <w:szCs w:val="21"/>
                      <w:lang w:bidi="ar"/>
                    </w:rPr>
                  </w:pPr>
                  <w:r>
                    <w:rPr>
                      <w:rFonts w:hint="eastAsia"/>
                      <w:kern w:val="0"/>
                      <w:szCs w:val="21"/>
                      <w:lang w:bidi="ar"/>
                    </w:rPr>
                    <w:t>/</w:t>
                  </w:r>
                </w:p>
              </w:tc>
              <w:tc>
                <w:tcPr>
                  <w:tcW w:w="1270" w:type="dxa"/>
                  <w:noWrap w:val="0"/>
                  <w:vAlign w:val="center"/>
                </w:tcPr>
                <w:p>
                  <w:pPr>
                    <w:widowControl/>
                    <w:jc w:val="center"/>
                    <w:textAlignment w:val="center"/>
                    <w:rPr>
                      <w:rFonts w:hint="default" w:eastAsia="宋体"/>
                      <w:kern w:val="0"/>
                      <w:szCs w:val="21"/>
                      <w:lang w:val="en-US" w:eastAsia="zh-CN" w:bidi="ar"/>
                    </w:rPr>
                  </w:pPr>
                  <w:r>
                    <w:rPr>
                      <w:rFonts w:hint="eastAsia"/>
                      <w:kern w:val="0"/>
                      <w:szCs w:val="21"/>
                      <w:lang w:val="en-US" w:eastAsia="zh-CN" w:bidi="ar"/>
                    </w:rPr>
                    <w:t>381.9</w:t>
                  </w:r>
                </w:p>
              </w:tc>
              <w:tc>
                <w:tcPr>
                  <w:tcW w:w="1817" w:type="dxa"/>
                  <w:noWrap w:val="0"/>
                  <w:vAlign w:val="center"/>
                </w:tcPr>
                <w:p>
                  <w:pPr>
                    <w:widowControl/>
                    <w:jc w:val="center"/>
                    <w:textAlignment w:val="center"/>
                    <w:rPr>
                      <w:rFonts w:hint="default" w:ascii="Times New Roman" w:hAnsi="Times New Roman" w:eastAsia="宋体" w:cs="Times New Roman"/>
                      <w:kern w:val="0"/>
                      <w:szCs w:val="21"/>
                      <w:lang w:val="en-US" w:eastAsia="zh-CN" w:bidi="ar"/>
                    </w:rPr>
                  </w:pPr>
                  <w:r>
                    <w:rPr>
                      <w:rFonts w:hint="eastAsia"/>
                      <w:kern w:val="0"/>
                      <w:szCs w:val="21"/>
                      <w:lang w:val="en-US" w:eastAsia="zh-CN" w:bidi="ar"/>
                    </w:rPr>
                    <w:t>381.9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3" w:type="dxa"/>
                  <w:vMerge w:val="continue"/>
                  <w:noWrap w:val="0"/>
                  <w:vAlign w:val="center"/>
                </w:tcPr>
                <w:p>
                  <w:pPr>
                    <w:adjustRightInd w:val="0"/>
                    <w:snapToGrid w:val="0"/>
                    <w:jc w:val="center"/>
                    <w:rPr>
                      <w:szCs w:val="21"/>
                    </w:rPr>
                  </w:pPr>
                </w:p>
              </w:tc>
              <w:tc>
                <w:tcPr>
                  <w:tcW w:w="2018" w:type="dxa"/>
                  <w:noWrap w:val="0"/>
                  <w:vAlign w:val="center"/>
                </w:tcPr>
                <w:p>
                  <w:pPr>
                    <w:widowControl/>
                    <w:jc w:val="center"/>
                    <w:textAlignment w:val="center"/>
                    <w:rPr>
                      <w:b/>
                      <w:bCs/>
                      <w:szCs w:val="21"/>
                    </w:rPr>
                  </w:pPr>
                  <w:r>
                    <w:rPr>
                      <w:kern w:val="0"/>
                      <w:szCs w:val="21"/>
                      <w:lang w:bidi="ar"/>
                    </w:rPr>
                    <w:t>COD</w:t>
                  </w:r>
                </w:p>
              </w:tc>
              <w:tc>
                <w:tcPr>
                  <w:tcW w:w="1365" w:type="dxa"/>
                  <w:noWrap w:val="0"/>
                  <w:vAlign w:val="center"/>
                </w:tcPr>
                <w:p>
                  <w:pPr>
                    <w:widowControl/>
                    <w:jc w:val="center"/>
                    <w:textAlignment w:val="center"/>
                    <w:rPr>
                      <w:rFonts w:hint="default"/>
                      <w:kern w:val="0"/>
                      <w:szCs w:val="21"/>
                      <w:lang w:val="en-US" w:bidi="ar"/>
                    </w:rPr>
                  </w:pPr>
                  <w:r>
                    <w:rPr>
                      <w:rFonts w:hint="eastAsia"/>
                      <w:kern w:val="0"/>
                      <w:szCs w:val="21"/>
                      <w:lang w:val="en-US" w:eastAsia="zh-CN" w:bidi="ar"/>
                    </w:rPr>
                    <w:t>0.1198</w:t>
                  </w:r>
                </w:p>
              </w:tc>
              <w:tc>
                <w:tcPr>
                  <w:tcW w:w="1188" w:type="dxa"/>
                  <w:noWrap w:val="0"/>
                  <w:vAlign w:val="center"/>
                </w:tcPr>
                <w:p>
                  <w:pPr>
                    <w:widowControl/>
                    <w:jc w:val="center"/>
                    <w:textAlignment w:val="center"/>
                    <w:rPr>
                      <w:rFonts w:hint="default" w:eastAsia="宋体"/>
                      <w:kern w:val="0"/>
                      <w:szCs w:val="21"/>
                      <w:lang w:val="en-US" w:eastAsia="zh-CN" w:bidi="ar"/>
                    </w:rPr>
                  </w:pPr>
                  <w:r>
                    <w:rPr>
                      <w:rFonts w:hint="eastAsia"/>
                      <w:kern w:val="0"/>
                      <w:szCs w:val="21"/>
                      <w:lang w:bidi="ar"/>
                    </w:rPr>
                    <w:t>0.0</w:t>
                  </w:r>
                  <w:r>
                    <w:rPr>
                      <w:rFonts w:hint="eastAsia"/>
                      <w:kern w:val="0"/>
                      <w:szCs w:val="21"/>
                      <w:lang w:val="en-US" w:eastAsia="zh-CN" w:bidi="ar"/>
                    </w:rPr>
                    <w:t>052</w:t>
                  </w:r>
                </w:p>
              </w:tc>
              <w:tc>
                <w:tcPr>
                  <w:tcW w:w="1270"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0.1146</w:t>
                  </w:r>
                </w:p>
              </w:tc>
              <w:tc>
                <w:tcPr>
                  <w:tcW w:w="1817"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0.0191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3" w:type="dxa"/>
                  <w:vMerge w:val="continue"/>
                  <w:noWrap w:val="0"/>
                  <w:vAlign w:val="center"/>
                </w:tcPr>
                <w:p>
                  <w:pPr>
                    <w:adjustRightInd w:val="0"/>
                    <w:snapToGrid w:val="0"/>
                    <w:jc w:val="center"/>
                    <w:rPr>
                      <w:szCs w:val="21"/>
                    </w:rPr>
                  </w:pPr>
                </w:p>
              </w:tc>
              <w:tc>
                <w:tcPr>
                  <w:tcW w:w="2018" w:type="dxa"/>
                  <w:noWrap w:val="0"/>
                  <w:vAlign w:val="center"/>
                </w:tcPr>
                <w:p>
                  <w:pPr>
                    <w:widowControl/>
                    <w:jc w:val="center"/>
                    <w:textAlignment w:val="center"/>
                    <w:rPr>
                      <w:b/>
                      <w:bCs/>
                      <w:szCs w:val="21"/>
                    </w:rPr>
                  </w:pPr>
                  <w:r>
                    <w:rPr>
                      <w:kern w:val="0"/>
                      <w:szCs w:val="21"/>
                      <w:lang w:bidi="ar"/>
                    </w:rPr>
                    <w:t>SS</w:t>
                  </w:r>
                </w:p>
              </w:tc>
              <w:tc>
                <w:tcPr>
                  <w:tcW w:w="1365" w:type="dxa"/>
                  <w:noWrap w:val="0"/>
                  <w:vAlign w:val="center"/>
                </w:tcPr>
                <w:p>
                  <w:pPr>
                    <w:widowControl/>
                    <w:jc w:val="center"/>
                    <w:textAlignment w:val="center"/>
                    <w:rPr>
                      <w:rFonts w:hint="default"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0.1011</w:t>
                  </w:r>
                </w:p>
              </w:tc>
              <w:tc>
                <w:tcPr>
                  <w:tcW w:w="1188" w:type="dxa"/>
                  <w:noWrap w:val="0"/>
                  <w:vAlign w:val="center"/>
                </w:tcPr>
                <w:p>
                  <w:pPr>
                    <w:widowControl/>
                    <w:jc w:val="center"/>
                    <w:textAlignment w:val="center"/>
                    <w:rPr>
                      <w:rFonts w:hint="default" w:eastAsia="宋体"/>
                      <w:kern w:val="0"/>
                      <w:szCs w:val="21"/>
                      <w:lang w:val="en-US" w:eastAsia="zh-CN" w:bidi="ar"/>
                    </w:rPr>
                  </w:pPr>
                  <w:r>
                    <w:rPr>
                      <w:rFonts w:hint="eastAsia"/>
                      <w:kern w:val="0"/>
                      <w:szCs w:val="21"/>
                      <w:lang w:val="en-US" w:eastAsia="zh-CN" w:bidi="ar"/>
                    </w:rPr>
                    <w:t>0.0171</w:t>
                  </w:r>
                </w:p>
              </w:tc>
              <w:tc>
                <w:tcPr>
                  <w:tcW w:w="1270" w:type="dxa"/>
                  <w:noWrap w:val="0"/>
                  <w:vAlign w:val="center"/>
                </w:tcPr>
                <w:p>
                  <w:pPr>
                    <w:widowControl/>
                    <w:jc w:val="center"/>
                    <w:textAlignment w:val="center"/>
                    <w:rPr>
                      <w:rFonts w:hint="default"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0.0840</w:t>
                  </w:r>
                </w:p>
              </w:tc>
              <w:tc>
                <w:tcPr>
                  <w:tcW w:w="1817"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0.0038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3" w:type="dxa"/>
                  <w:vMerge w:val="continue"/>
                  <w:noWrap w:val="0"/>
                  <w:vAlign w:val="center"/>
                </w:tcPr>
                <w:p>
                  <w:pPr>
                    <w:adjustRightInd w:val="0"/>
                    <w:snapToGrid w:val="0"/>
                    <w:jc w:val="center"/>
                    <w:rPr>
                      <w:szCs w:val="21"/>
                    </w:rPr>
                  </w:pPr>
                </w:p>
              </w:tc>
              <w:tc>
                <w:tcPr>
                  <w:tcW w:w="2018" w:type="dxa"/>
                  <w:noWrap w:val="0"/>
                  <w:vAlign w:val="center"/>
                </w:tcPr>
                <w:p>
                  <w:pPr>
                    <w:widowControl/>
                    <w:jc w:val="center"/>
                    <w:textAlignment w:val="center"/>
                    <w:rPr>
                      <w:b/>
                      <w:bCs/>
                      <w:szCs w:val="21"/>
                    </w:rPr>
                  </w:pPr>
                  <w:r>
                    <w:rPr>
                      <w:kern w:val="0"/>
                      <w:szCs w:val="21"/>
                      <w:lang w:bidi="ar"/>
                    </w:rPr>
                    <w:t>氨氮</w:t>
                  </w:r>
                </w:p>
              </w:tc>
              <w:tc>
                <w:tcPr>
                  <w:tcW w:w="1365"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0.009</w:t>
                  </w:r>
                </w:p>
              </w:tc>
              <w:tc>
                <w:tcPr>
                  <w:tcW w:w="1188" w:type="dxa"/>
                  <w:noWrap w:val="0"/>
                  <w:vAlign w:val="center"/>
                </w:tcPr>
                <w:p>
                  <w:pPr>
                    <w:widowControl/>
                    <w:jc w:val="center"/>
                    <w:textAlignment w:val="center"/>
                    <w:rPr>
                      <w:rFonts w:hint="default" w:eastAsia="宋体"/>
                      <w:kern w:val="0"/>
                      <w:szCs w:val="21"/>
                      <w:lang w:val="en-US" w:eastAsia="zh-CN" w:bidi="ar"/>
                    </w:rPr>
                  </w:pPr>
                  <w:r>
                    <w:rPr>
                      <w:rFonts w:hint="eastAsia"/>
                      <w:kern w:val="0"/>
                      <w:szCs w:val="21"/>
                      <w:lang w:bidi="ar"/>
                    </w:rPr>
                    <w:t>0.00</w:t>
                  </w:r>
                  <w:r>
                    <w:rPr>
                      <w:rFonts w:hint="eastAsia"/>
                      <w:kern w:val="0"/>
                      <w:szCs w:val="21"/>
                      <w:lang w:val="en-US" w:eastAsia="zh-CN" w:bidi="ar"/>
                    </w:rPr>
                    <w:t>14</w:t>
                  </w:r>
                </w:p>
              </w:tc>
              <w:tc>
                <w:tcPr>
                  <w:tcW w:w="1270"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0.0076</w:t>
                  </w:r>
                </w:p>
              </w:tc>
              <w:tc>
                <w:tcPr>
                  <w:tcW w:w="1817"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3" w:type="dxa"/>
                  <w:vMerge w:val="continue"/>
                  <w:noWrap w:val="0"/>
                  <w:vAlign w:val="center"/>
                </w:tcPr>
                <w:p>
                  <w:pPr>
                    <w:adjustRightInd w:val="0"/>
                    <w:snapToGrid w:val="0"/>
                    <w:jc w:val="center"/>
                    <w:rPr>
                      <w:szCs w:val="21"/>
                    </w:rPr>
                  </w:pPr>
                </w:p>
              </w:tc>
              <w:tc>
                <w:tcPr>
                  <w:tcW w:w="2018" w:type="dxa"/>
                  <w:noWrap w:val="0"/>
                  <w:vAlign w:val="center"/>
                </w:tcPr>
                <w:p>
                  <w:pPr>
                    <w:widowControl/>
                    <w:jc w:val="center"/>
                    <w:textAlignment w:val="center"/>
                    <w:rPr>
                      <w:b/>
                      <w:bCs/>
                      <w:szCs w:val="21"/>
                    </w:rPr>
                  </w:pPr>
                  <w:r>
                    <w:rPr>
                      <w:kern w:val="0"/>
                      <w:szCs w:val="21"/>
                      <w:lang w:bidi="ar"/>
                    </w:rPr>
                    <w:t>总磷</w:t>
                  </w:r>
                </w:p>
              </w:tc>
              <w:tc>
                <w:tcPr>
                  <w:tcW w:w="1365"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0.0009</w:t>
                  </w:r>
                </w:p>
              </w:tc>
              <w:tc>
                <w:tcPr>
                  <w:tcW w:w="1188" w:type="dxa"/>
                  <w:noWrap w:val="0"/>
                  <w:vAlign w:val="center"/>
                </w:tcPr>
                <w:p>
                  <w:pPr>
                    <w:widowControl/>
                    <w:jc w:val="center"/>
                    <w:textAlignment w:val="center"/>
                    <w:rPr>
                      <w:rFonts w:hint="default" w:eastAsia="宋体"/>
                      <w:kern w:val="0"/>
                      <w:szCs w:val="21"/>
                      <w:lang w:val="en-US" w:eastAsia="zh-CN" w:bidi="ar"/>
                    </w:rPr>
                  </w:pPr>
                  <w:r>
                    <w:rPr>
                      <w:rFonts w:hint="eastAsia"/>
                      <w:kern w:val="0"/>
                      <w:szCs w:val="21"/>
                      <w:lang w:val="en-US" w:eastAsia="zh-CN" w:bidi="ar"/>
                    </w:rPr>
                    <w:t>0.0005</w:t>
                  </w:r>
                </w:p>
              </w:tc>
              <w:tc>
                <w:tcPr>
                  <w:tcW w:w="1270"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0.0004</w:t>
                  </w:r>
                </w:p>
              </w:tc>
              <w:tc>
                <w:tcPr>
                  <w:tcW w:w="1817"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3" w:type="dxa"/>
                  <w:vMerge w:val="continue"/>
                  <w:noWrap w:val="0"/>
                  <w:vAlign w:val="center"/>
                </w:tcPr>
                <w:p>
                  <w:pPr>
                    <w:adjustRightInd w:val="0"/>
                    <w:snapToGrid w:val="0"/>
                    <w:jc w:val="center"/>
                    <w:rPr>
                      <w:szCs w:val="21"/>
                    </w:rPr>
                  </w:pPr>
                </w:p>
              </w:tc>
              <w:tc>
                <w:tcPr>
                  <w:tcW w:w="2018" w:type="dxa"/>
                  <w:noWrap w:val="0"/>
                  <w:vAlign w:val="center"/>
                </w:tcPr>
                <w:p>
                  <w:pPr>
                    <w:widowControl/>
                    <w:jc w:val="center"/>
                    <w:textAlignment w:val="center"/>
                    <w:rPr>
                      <w:rFonts w:hint="eastAsia"/>
                      <w:kern w:val="0"/>
                      <w:szCs w:val="21"/>
                      <w:lang w:bidi="ar"/>
                    </w:rPr>
                  </w:pPr>
                  <w:r>
                    <w:rPr>
                      <w:rFonts w:hint="eastAsia"/>
                      <w:kern w:val="0"/>
                      <w:szCs w:val="21"/>
                      <w:lang w:bidi="ar"/>
                    </w:rPr>
                    <w:t>总氮</w:t>
                  </w:r>
                </w:p>
              </w:tc>
              <w:tc>
                <w:tcPr>
                  <w:tcW w:w="1365"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0.015</w:t>
                  </w:r>
                </w:p>
              </w:tc>
              <w:tc>
                <w:tcPr>
                  <w:tcW w:w="1188" w:type="dxa"/>
                  <w:noWrap w:val="0"/>
                  <w:vAlign w:val="center"/>
                </w:tcPr>
                <w:p>
                  <w:pPr>
                    <w:widowControl/>
                    <w:jc w:val="center"/>
                    <w:textAlignment w:val="center"/>
                    <w:rPr>
                      <w:rFonts w:hint="default" w:eastAsia="宋体"/>
                      <w:kern w:val="0"/>
                      <w:szCs w:val="21"/>
                      <w:lang w:val="en-US" w:eastAsia="zh-CN" w:bidi="ar"/>
                    </w:rPr>
                  </w:pPr>
                  <w:r>
                    <w:rPr>
                      <w:rFonts w:hint="eastAsia"/>
                      <w:kern w:val="0"/>
                      <w:szCs w:val="21"/>
                      <w:lang w:val="en-US" w:eastAsia="zh-CN" w:bidi="ar"/>
                    </w:rPr>
                    <w:t>0.0055</w:t>
                  </w:r>
                </w:p>
              </w:tc>
              <w:tc>
                <w:tcPr>
                  <w:tcW w:w="1270" w:type="dxa"/>
                  <w:noWrap w:val="0"/>
                  <w:vAlign w:val="center"/>
                </w:tcPr>
                <w:p>
                  <w:pPr>
                    <w:widowControl/>
                    <w:jc w:val="center"/>
                    <w:textAlignment w:val="center"/>
                    <w:rPr>
                      <w:rFonts w:hint="default"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0.0095</w:t>
                  </w:r>
                </w:p>
              </w:tc>
              <w:tc>
                <w:tcPr>
                  <w:tcW w:w="1817"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0.0046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3" w:type="dxa"/>
                  <w:vMerge w:val="restart"/>
                  <w:noWrap w:val="0"/>
                  <w:vAlign w:val="center"/>
                </w:tcPr>
                <w:p>
                  <w:pPr>
                    <w:adjustRightInd w:val="0"/>
                    <w:snapToGrid w:val="0"/>
                    <w:jc w:val="center"/>
                    <w:rPr>
                      <w:szCs w:val="21"/>
                    </w:rPr>
                  </w:pPr>
                  <w:r>
                    <w:rPr>
                      <w:szCs w:val="21"/>
                    </w:rPr>
                    <w:t>固废</w:t>
                  </w:r>
                </w:p>
              </w:tc>
              <w:tc>
                <w:tcPr>
                  <w:tcW w:w="2018" w:type="dxa"/>
                  <w:noWrap w:val="0"/>
                  <w:vAlign w:val="center"/>
                </w:tcPr>
                <w:p>
                  <w:pPr>
                    <w:adjustRightInd w:val="0"/>
                    <w:snapToGrid w:val="0"/>
                    <w:jc w:val="center"/>
                    <w:rPr>
                      <w:szCs w:val="21"/>
                    </w:rPr>
                  </w:pPr>
                  <w:r>
                    <w:rPr>
                      <w:szCs w:val="21"/>
                    </w:rPr>
                    <w:t>生活垃圾</w:t>
                  </w:r>
                </w:p>
              </w:tc>
              <w:tc>
                <w:tcPr>
                  <w:tcW w:w="1365" w:type="dxa"/>
                  <w:noWrap w:val="0"/>
                  <w:vAlign w:val="center"/>
                </w:tcPr>
                <w:p>
                  <w:pPr>
                    <w:adjustRightInd w:val="0"/>
                    <w:snapToGrid w:val="0"/>
                    <w:jc w:val="center"/>
                    <w:rPr>
                      <w:rFonts w:hint="default" w:eastAsia="宋体"/>
                      <w:szCs w:val="21"/>
                      <w:lang w:val="en-US" w:eastAsia="zh-CN"/>
                    </w:rPr>
                  </w:pPr>
                  <w:r>
                    <w:rPr>
                      <w:rFonts w:hint="eastAsia"/>
                      <w:szCs w:val="21"/>
                    </w:rPr>
                    <w:t>3</w:t>
                  </w:r>
                  <w:r>
                    <w:rPr>
                      <w:rFonts w:hint="eastAsia"/>
                      <w:szCs w:val="21"/>
                      <w:lang w:val="en-US" w:eastAsia="zh-CN"/>
                    </w:rPr>
                    <w:t>.75</w:t>
                  </w:r>
                </w:p>
              </w:tc>
              <w:tc>
                <w:tcPr>
                  <w:tcW w:w="1188" w:type="dxa"/>
                  <w:noWrap w:val="0"/>
                  <w:vAlign w:val="center"/>
                </w:tcPr>
                <w:p>
                  <w:pPr>
                    <w:adjustRightInd w:val="0"/>
                    <w:snapToGrid w:val="0"/>
                    <w:jc w:val="center"/>
                    <w:rPr>
                      <w:rFonts w:hint="default" w:eastAsia="宋体"/>
                      <w:szCs w:val="21"/>
                      <w:lang w:val="en-US" w:eastAsia="zh-CN"/>
                    </w:rPr>
                  </w:pPr>
                  <w:r>
                    <w:rPr>
                      <w:rFonts w:hint="eastAsia"/>
                      <w:szCs w:val="21"/>
                    </w:rPr>
                    <w:t>3</w:t>
                  </w:r>
                  <w:r>
                    <w:rPr>
                      <w:rFonts w:hint="eastAsia"/>
                      <w:szCs w:val="21"/>
                      <w:lang w:val="en-US" w:eastAsia="zh-CN"/>
                    </w:rPr>
                    <w:t>.75</w:t>
                  </w:r>
                </w:p>
              </w:tc>
              <w:tc>
                <w:tcPr>
                  <w:tcW w:w="1270" w:type="dxa"/>
                  <w:noWrap w:val="0"/>
                  <w:vAlign w:val="center"/>
                </w:tcPr>
                <w:p>
                  <w:pPr>
                    <w:adjustRightInd w:val="0"/>
                    <w:snapToGrid w:val="0"/>
                    <w:jc w:val="center"/>
                    <w:rPr>
                      <w:szCs w:val="21"/>
                    </w:rPr>
                  </w:pPr>
                  <w:r>
                    <w:rPr>
                      <w:rFonts w:hint="eastAsia"/>
                      <w:kern w:val="0"/>
                      <w:szCs w:val="21"/>
                      <w:lang w:bidi="ar"/>
                    </w:rPr>
                    <w:t>/</w:t>
                  </w:r>
                </w:p>
              </w:tc>
              <w:tc>
                <w:tcPr>
                  <w:tcW w:w="1817" w:type="dxa"/>
                  <w:noWrap w:val="0"/>
                  <w:vAlign w:val="center"/>
                </w:tcPr>
                <w:p>
                  <w:pPr>
                    <w:adjustRightInd w:val="0"/>
                    <w:snapToGrid w:val="0"/>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3" w:type="dxa"/>
                  <w:vMerge w:val="continue"/>
                  <w:noWrap w:val="0"/>
                  <w:vAlign w:val="center"/>
                </w:tcPr>
                <w:p>
                  <w:pPr>
                    <w:adjustRightInd w:val="0"/>
                    <w:snapToGrid w:val="0"/>
                    <w:jc w:val="center"/>
                    <w:rPr>
                      <w:szCs w:val="21"/>
                    </w:rPr>
                  </w:pPr>
                </w:p>
              </w:tc>
              <w:tc>
                <w:tcPr>
                  <w:tcW w:w="2018" w:type="dxa"/>
                  <w:noWrap w:val="0"/>
                  <w:vAlign w:val="center"/>
                </w:tcPr>
                <w:p>
                  <w:pPr>
                    <w:adjustRightInd w:val="0"/>
                    <w:snapToGrid w:val="0"/>
                    <w:jc w:val="center"/>
                    <w:rPr>
                      <w:rFonts w:hint="eastAsia"/>
                      <w:szCs w:val="21"/>
                    </w:rPr>
                  </w:pPr>
                  <w:r>
                    <w:rPr>
                      <w:szCs w:val="21"/>
                    </w:rPr>
                    <w:t>一般固废</w:t>
                  </w:r>
                </w:p>
              </w:tc>
              <w:tc>
                <w:tcPr>
                  <w:tcW w:w="1365"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0.07</w:t>
                  </w:r>
                </w:p>
              </w:tc>
              <w:tc>
                <w:tcPr>
                  <w:tcW w:w="1188"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0.07</w:t>
                  </w:r>
                </w:p>
              </w:tc>
              <w:tc>
                <w:tcPr>
                  <w:tcW w:w="1270" w:type="dxa"/>
                  <w:noWrap w:val="0"/>
                  <w:vAlign w:val="center"/>
                </w:tcPr>
                <w:p>
                  <w:pPr>
                    <w:adjustRightInd w:val="0"/>
                    <w:snapToGrid w:val="0"/>
                    <w:jc w:val="center"/>
                    <w:rPr>
                      <w:szCs w:val="21"/>
                    </w:rPr>
                  </w:pPr>
                  <w:r>
                    <w:rPr>
                      <w:rFonts w:hint="eastAsia"/>
                      <w:kern w:val="0"/>
                      <w:szCs w:val="21"/>
                      <w:lang w:bidi="ar"/>
                    </w:rPr>
                    <w:t>/</w:t>
                  </w:r>
                </w:p>
              </w:tc>
              <w:tc>
                <w:tcPr>
                  <w:tcW w:w="1817" w:type="dxa"/>
                  <w:noWrap w:val="0"/>
                  <w:vAlign w:val="center"/>
                </w:tcPr>
                <w:p>
                  <w:pPr>
                    <w:adjustRightInd w:val="0"/>
                    <w:snapToGrid w:val="0"/>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3" w:type="dxa"/>
                  <w:vMerge w:val="continue"/>
                  <w:noWrap w:val="0"/>
                  <w:vAlign w:val="center"/>
                </w:tcPr>
                <w:p>
                  <w:pPr>
                    <w:adjustRightInd w:val="0"/>
                    <w:snapToGrid w:val="0"/>
                    <w:jc w:val="center"/>
                    <w:rPr>
                      <w:szCs w:val="21"/>
                    </w:rPr>
                  </w:pPr>
                </w:p>
              </w:tc>
              <w:tc>
                <w:tcPr>
                  <w:tcW w:w="2018" w:type="dxa"/>
                  <w:noWrap w:val="0"/>
                  <w:vAlign w:val="center"/>
                </w:tcPr>
                <w:p>
                  <w:pPr>
                    <w:adjustRightInd w:val="0"/>
                    <w:snapToGrid w:val="0"/>
                    <w:jc w:val="center"/>
                    <w:rPr>
                      <w:szCs w:val="21"/>
                    </w:rPr>
                  </w:pPr>
                  <w:r>
                    <w:rPr>
                      <w:rFonts w:hint="eastAsia"/>
                      <w:szCs w:val="21"/>
                    </w:rPr>
                    <w:t>危险废物</w:t>
                  </w:r>
                </w:p>
              </w:tc>
              <w:tc>
                <w:tcPr>
                  <w:tcW w:w="1365" w:type="dxa"/>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0.064</w:t>
                  </w:r>
                </w:p>
              </w:tc>
              <w:tc>
                <w:tcPr>
                  <w:tcW w:w="1188" w:type="dxa"/>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0.064</w:t>
                  </w:r>
                </w:p>
              </w:tc>
              <w:tc>
                <w:tcPr>
                  <w:tcW w:w="1270" w:type="dxa"/>
                  <w:noWrap w:val="0"/>
                  <w:vAlign w:val="center"/>
                </w:tcPr>
                <w:p>
                  <w:pPr>
                    <w:adjustRightInd w:val="0"/>
                    <w:snapToGrid w:val="0"/>
                    <w:jc w:val="center"/>
                    <w:rPr>
                      <w:rFonts w:hint="eastAsia"/>
                      <w:szCs w:val="21"/>
                    </w:rPr>
                  </w:pPr>
                  <w:r>
                    <w:rPr>
                      <w:rFonts w:hint="eastAsia"/>
                      <w:kern w:val="0"/>
                      <w:szCs w:val="21"/>
                      <w:lang w:bidi="ar"/>
                    </w:rPr>
                    <w:t>/</w:t>
                  </w:r>
                </w:p>
              </w:tc>
              <w:tc>
                <w:tcPr>
                  <w:tcW w:w="1817" w:type="dxa"/>
                  <w:noWrap w:val="0"/>
                  <w:vAlign w:val="center"/>
                </w:tcPr>
                <w:p>
                  <w:pPr>
                    <w:adjustRightInd w:val="0"/>
                    <w:snapToGrid w:val="0"/>
                    <w:jc w:val="center"/>
                    <w:rPr>
                      <w:rFonts w:hint="eastAsia"/>
                      <w:szCs w:val="21"/>
                    </w:rPr>
                  </w:pPr>
                  <w:r>
                    <w:rPr>
                      <w:rFonts w:hint="eastAsia"/>
                      <w:szCs w:val="21"/>
                    </w:rPr>
                    <w:t>0</w:t>
                  </w:r>
                </w:p>
              </w:tc>
            </w:tr>
          </w:tbl>
          <w:p>
            <w:pPr>
              <w:adjustRightInd w:val="0"/>
              <w:snapToGrid w:val="0"/>
              <w:spacing w:before="120" w:beforeLines="50" w:line="360" w:lineRule="auto"/>
              <w:ind w:firstLine="482" w:firstLineChars="200"/>
              <w:rPr>
                <w:b/>
                <w:bCs/>
                <w:sz w:val="24"/>
              </w:rPr>
            </w:pPr>
            <w:r>
              <w:rPr>
                <w:b/>
                <w:bCs/>
                <w:sz w:val="24"/>
              </w:rPr>
              <w:t>2、污染物总量平衡方案</w:t>
            </w:r>
          </w:p>
          <w:p>
            <w:pPr>
              <w:adjustRightInd w:val="0"/>
              <w:snapToGrid w:val="0"/>
              <w:spacing w:line="360" w:lineRule="auto"/>
              <w:ind w:firstLine="480" w:firstLineChars="200"/>
              <w:rPr>
                <w:sz w:val="24"/>
              </w:rPr>
            </w:pPr>
            <w:r>
              <w:rPr>
                <w:sz w:val="24"/>
              </w:rPr>
              <w:t>建设单位向常州市金坛生态环境局申请总量，项目废水排放总量已纳入金坛区第二污水处理厂排污总量中，在金坛区第二污水处理厂的污染物排放总量控制指标内进行平衡。</w:t>
            </w:r>
          </w:p>
          <w:p>
            <w:pPr>
              <w:spacing w:line="360" w:lineRule="auto"/>
              <w:ind w:firstLine="480" w:firstLineChars="200"/>
              <w:rPr>
                <w:color w:val="0000FF"/>
                <w:sz w:val="24"/>
              </w:rPr>
            </w:pPr>
          </w:p>
          <w:p>
            <w:pPr>
              <w:spacing w:line="360" w:lineRule="auto"/>
              <w:rPr>
                <w:rFonts w:hint="eastAsia"/>
                <w:color w:val="0000FF"/>
                <w:kern w:val="0"/>
                <w:sz w:val="24"/>
              </w:rPr>
            </w:pPr>
          </w:p>
        </w:tc>
      </w:tr>
    </w:tbl>
    <w:p>
      <w:pPr>
        <w:pStyle w:val="20"/>
        <w:jc w:val="both"/>
        <w:outlineLvl w:val="0"/>
        <w:rPr>
          <w:rFonts w:ascii="黑体" w:hAnsi="黑体" w:eastAsia="黑体"/>
          <w:snapToGrid w:val="0"/>
          <w:color w:val="0000FF"/>
          <w:sz w:val="36"/>
          <w:szCs w:val="36"/>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0"/>
        <w:jc w:val="center"/>
        <w:outlineLvl w:val="0"/>
        <w:rPr>
          <w:rFonts w:cs="宋体"/>
          <w:b/>
          <w:bCs/>
          <w:snapToGrid w:val="0"/>
          <w:sz w:val="30"/>
          <w:szCs w:val="30"/>
        </w:rPr>
      </w:pPr>
      <w:bookmarkStart w:id="8" w:name="_Toc19850"/>
      <w:r>
        <w:rPr>
          <w:rFonts w:hint="eastAsia" w:cs="宋体"/>
          <w:b/>
          <w:bCs/>
          <w:snapToGrid w:val="0"/>
          <w:sz w:val="30"/>
          <w:szCs w:val="30"/>
        </w:rPr>
        <w:t>四、主要环境影响和保护措施</w:t>
      </w:r>
      <w:bookmarkEnd w:id="8"/>
    </w:p>
    <w:tbl>
      <w:tblPr>
        <w:tblStyle w:val="23"/>
        <w:tblW w:w="508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85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351" w:type="pct"/>
            <w:noWrap w:val="0"/>
            <w:tcMar>
              <w:left w:w="28" w:type="dxa"/>
              <w:right w:w="28" w:type="dxa"/>
            </w:tcMar>
            <w:vAlign w:val="center"/>
          </w:tcPr>
          <w:p>
            <w:pPr>
              <w:pStyle w:val="20"/>
              <w:adjustRightInd w:val="0"/>
              <w:snapToGrid w:val="0"/>
              <w:spacing w:before="0" w:beforeAutospacing="0" w:after="0" w:afterAutospacing="0" w:line="360" w:lineRule="auto"/>
              <w:jc w:val="center"/>
              <w:rPr>
                <w:rFonts w:ascii="Times New Roman" w:hAnsi="Times New Roman"/>
                <w:bCs/>
                <w:szCs w:val="24"/>
              </w:rPr>
            </w:pPr>
            <w:r>
              <w:rPr>
                <w:rFonts w:ascii="Times New Roman" w:hAnsi="Times New Roman"/>
                <w:szCs w:val="24"/>
              </w:rPr>
              <w:t>施工期环境保护措施</w:t>
            </w:r>
          </w:p>
        </w:tc>
        <w:tc>
          <w:tcPr>
            <w:tcW w:w="4648" w:type="pct"/>
            <w:noWrap w:val="0"/>
            <w:vAlign w:val="center"/>
          </w:tcPr>
          <w:p>
            <w:pPr>
              <w:adjustRightInd w:val="0"/>
              <w:snapToGrid w:val="0"/>
              <w:spacing w:line="360" w:lineRule="auto"/>
              <w:ind w:firstLine="480" w:firstLineChars="200"/>
              <w:textAlignment w:val="baseline"/>
              <w:rPr>
                <w:rFonts w:hint="eastAsia"/>
                <w:bCs/>
                <w:spacing w:val="0"/>
                <w:sz w:val="24"/>
              </w:rPr>
            </w:pPr>
            <w:r>
              <w:rPr>
                <w:rFonts w:hint="eastAsia"/>
                <w:bCs/>
                <w:spacing w:val="0"/>
                <w:sz w:val="24"/>
              </w:rPr>
              <w:t>项目</w:t>
            </w:r>
            <w:r>
              <w:rPr>
                <w:rFonts w:hint="eastAsia"/>
                <w:bCs/>
                <w:spacing w:val="0"/>
                <w:sz w:val="24"/>
                <w:lang w:val="en-US" w:eastAsia="zh-CN"/>
              </w:rPr>
              <w:t>建设项目租赁江苏华科园投资发展有限公现有标准厂房，无需进行土建，</w:t>
            </w:r>
            <w:r>
              <w:rPr>
                <w:rFonts w:hint="eastAsia"/>
                <w:bCs/>
                <w:spacing w:val="0"/>
                <w:sz w:val="24"/>
              </w:rPr>
              <w:t>施工期只需要进行厂房装修和设备的安装。考虑到施工期环境影响微弱，本环评仅做简要分析。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78" w:hRule="atLeast"/>
          <w:jc w:val="center"/>
        </w:trPr>
        <w:tc>
          <w:tcPr>
            <w:tcW w:w="351" w:type="pct"/>
            <w:noWrap w:val="0"/>
            <w:tcMar>
              <w:left w:w="28" w:type="dxa"/>
              <w:right w:w="28" w:type="dxa"/>
            </w:tcMar>
            <w:vAlign w:val="center"/>
          </w:tcPr>
          <w:p>
            <w:pPr>
              <w:adjustRightInd w:val="0"/>
              <w:snapToGrid w:val="0"/>
              <w:spacing w:line="360" w:lineRule="auto"/>
              <w:jc w:val="center"/>
              <w:rPr>
                <w:bCs/>
                <w:sz w:val="24"/>
              </w:rPr>
            </w:pPr>
            <w:r>
              <w:rPr>
                <w:bCs/>
                <w:sz w:val="24"/>
              </w:rPr>
              <w:t>运营</w:t>
            </w:r>
          </w:p>
          <w:p>
            <w:pPr>
              <w:adjustRightInd w:val="0"/>
              <w:snapToGrid w:val="0"/>
              <w:spacing w:line="360" w:lineRule="auto"/>
              <w:jc w:val="center"/>
              <w:rPr>
                <w:bCs/>
                <w:sz w:val="24"/>
              </w:rPr>
            </w:pPr>
            <w:r>
              <w:rPr>
                <w:bCs/>
                <w:sz w:val="24"/>
              </w:rPr>
              <w:t>期环</w:t>
            </w:r>
          </w:p>
          <w:p>
            <w:pPr>
              <w:adjustRightInd w:val="0"/>
              <w:snapToGrid w:val="0"/>
              <w:spacing w:line="360" w:lineRule="auto"/>
              <w:jc w:val="center"/>
              <w:rPr>
                <w:bCs/>
                <w:sz w:val="24"/>
              </w:rPr>
            </w:pPr>
            <w:r>
              <w:rPr>
                <w:bCs/>
                <w:sz w:val="24"/>
              </w:rPr>
              <w:t>境影</w:t>
            </w:r>
          </w:p>
          <w:p>
            <w:pPr>
              <w:adjustRightInd w:val="0"/>
              <w:snapToGrid w:val="0"/>
              <w:spacing w:line="360" w:lineRule="auto"/>
              <w:jc w:val="center"/>
              <w:rPr>
                <w:bCs/>
                <w:sz w:val="24"/>
              </w:rPr>
            </w:pPr>
            <w:r>
              <w:rPr>
                <w:bCs/>
                <w:sz w:val="24"/>
              </w:rPr>
              <w:t>响和</w:t>
            </w:r>
          </w:p>
          <w:p>
            <w:pPr>
              <w:adjustRightInd w:val="0"/>
              <w:snapToGrid w:val="0"/>
              <w:spacing w:line="360" w:lineRule="auto"/>
              <w:jc w:val="center"/>
              <w:rPr>
                <w:bCs/>
                <w:sz w:val="24"/>
              </w:rPr>
            </w:pPr>
            <w:r>
              <w:rPr>
                <w:bCs/>
                <w:sz w:val="24"/>
              </w:rPr>
              <w:t>保护</w:t>
            </w:r>
          </w:p>
          <w:p>
            <w:pPr>
              <w:adjustRightInd w:val="0"/>
              <w:snapToGrid w:val="0"/>
              <w:spacing w:line="360" w:lineRule="auto"/>
              <w:jc w:val="center"/>
              <w:rPr>
                <w:bCs/>
                <w:color w:val="0000FF"/>
                <w:sz w:val="24"/>
              </w:rPr>
            </w:pPr>
            <w:r>
              <w:rPr>
                <w:bCs/>
                <w:sz w:val="24"/>
              </w:rPr>
              <w:t>措施</w:t>
            </w:r>
          </w:p>
        </w:tc>
        <w:tc>
          <w:tcPr>
            <w:tcW w:w="4648" w:type="pct"/>
            <w:noWrap w:val="0"/>
            <w:vAlign w:val="top"/>
          </w:tcPr>
          <w:p>
            <w:pPr>
              <w:numPr>
                <w:ilvl w:val="0"/>
                <w:numId w:val="5"/>
              </w:numPr>
              <w:adjustRightInd w:val="0"/>
              <w:snapToGrid w:val="0"/>
              <w:spacing w:line="360" w:lineRule="auto"/>
              <w:rPr>
                <w:rFonts w:hint="eastAsia"/>
                <w:b/>
                <w:bCs/>
                <w:sz w:val="24"/>
              </w:rPr>
            </w:pPr>
            <w:r>
              <w:rPr>
                <w:rFonts w:hint="eastAsia"/>
                <w:b/>
                <w:bCs/>
                <w:sz w:val="24"/>
              </w:rPr>
              <w:t>大气环境影响分析</w:t>
            </w:r>
          </w:p>
          <w:p>
            <w:pPr>
              <w:pStyle w:val="5"/>
              <w:adjustRightInd w:val="0"/>
              <w:snapToGrid w:val="0"/>
              <w:spacing w:line="360" w:lineRule="auto"/>
              <w:ind w:left="0" w:leftChars="0" w:firstLine="480" w:firstLineChars="200"/>
              <w:rPr>
                <w:rFonts w:hint="eastAsia" w:ascii="Times New Roman" w:hAnsi="Times New Roman" w:eastAsia="宋体" w:cs="Times New Roman"/>
                <w:bCs/>
                <w:spacing w:val="0"/>
                <w:kern w:val="2"/>
                <w:sz w:val="24"/>
                <w:szCs w:val="24"/>
                <w:lang w:val="en-US" w:eastAsia="zh-CN" w:bidi="ar-SA"/>
              </w:rPr>
            </w:pPr>
            <w:r>
              <w:rPr>
                <w:rFonts w:hint="eastAsia" w:ascii="Times New Roman" w:hAnsi="Times New Roman" w:eastAsia="宋体" w:cs="Times New Roman"/>
                <w:bCs/>
                <w:spacing w:val="0"/>
                <w:kern w:val="2"/>
                <w:sz w:val="24"/>
                <w:szCs w:val="24"/>
                <w:lang w:val="en-US" w:eastAsia="zh-CN" w:bidi="ar-SA"/>
              </w:rPr>
              <w:t>本项目激光焊接是利用激光束优异的方向性以及足够高的功率密度等特点进行工作。通过光学系统将激光束聚焦在很小的区域内，在极短的时间内使被焊处形成一个能量高度集中的热源区，从而使被焊物熔化并形成牢固的焊点和焊缝。本项目焊接口面积较小，焊接部位材质为不锈钢304以及不锈钢303，不使用焊接助剂，使用氮气进行焊接保护，且焊接时间极短，故无污染物产生。</w:t>
            </w:r>
          </w:p>
          <w:p>
            <w:pPr>
              <w:pStyle w:val="5"/>
              <w:adjustRightInd w:val="0"/>
              <w:snapToGrid w:val="0"/>
              <w:spacing w:line="360" w:lineRule="auto"/>
              <w:ind w:left="0" w:leftChars="0" w:firstLine="480" w:firstLineChars="200"/>
              <w:rPr>
                <w:rFonts w:hint="eastAsia" w:ascii="Times New Roman" w:hAnsi="Times New Roman" w:eastAsia="宋体" w:cs="Times New Roman"/>
                <w:bCs/>
                <w:spacing w:val="0"/>
                <w:kern w:val="2"/>
                <w:sz w:val="24"/>
                <w:szCs w:val="24"/>
                <w:lang w:val="en-US" w:eastAsia="zh-CN" w:bidi="ar-SA"/>
              </w:rPr>
            </w:pPr>
            <w:r>
              <w:rPr>
                <w:rFonts w:hint="eastAsia" w:ascii="Times New Roman" w:hAnsi="Times New Roman" w:eastAsia="宋体" w:cs="Times New Roman"/>
                <w:bCs/>
                <w:spacing w:val="0"/>
                <w:kern w:val="2"/>
                <w:sz w:val="24"/>
                <w:szCs w:val="24"/>
                <w:lang w:val="en-US" w:eastAsia="zh-CN" w:bidi="ar-SA"/>
              </w:rPr>
              <w:t>抛光研磨是使用磁力研磨机在水箱中对电圈套器整体进行研磨，磁力研磨机是在传统研磨机的不足与缺陷上进行改革创新，使精密工件内孔、死角、细小夹缝起到明显较好的抛光研磨去除毛刺的效果，该过程产生生产废水，无废气产生。</w:t>
            </w:r>
          </w:p>
          <w:p>
            <w:pPr>
              <w:pStyle w:val="5"/>
              <w:adjustRightInd w:val="0"/>
              <w:snapToGrid w:val="0"/>
              <w:spacing w:line="360" w:lineRule="auto"/>
              <w:ind w:left="0" w:leftChars="0" w:firstLine="480" w:firstLineChars="200"/>
              <w:rPr>
                <w:rFonts w:hint="eastAsia" w:ascii="Times New Roman" w:hAnsi="Times New Roman" w:eastAsia="宋体" w:cs="Times New Roman"/>
                <w:bCs/>
                <w:spacing w:val="0"/>
                <w:kern w:val="2"/>
                <w:sz w:val="24"/>
                <w:szCs w:val="24"/>
                <w:lang w:val="en-US" w:eastAsia="zh-CN" w:bidi="ar-SA"/>
              </w:rPr>
            </w:pPr>
            <w:r>
              <w:rPr>
                <w:rFonts w:hint="eastAsia" w:ascii="Times New Roman" w:hAnsi="Times New Roman" w:eastAsia="宋体" w:cs="Times New Roman"/>
                <w:bCs/>
                <w:spacing w:val="0"/>
                <w:kern w:val="2"/>
                <w:sz w:val="24"/>
                <w:szCs w:val="24"/>
                <w:lang w:val="en-US" w:eastAsia="zh-CN" w:bidi="ar-SA"/>
              </w:rPr>
              <w:t>因此，项目无废气产生。　</w:t>
            </w:r>
          </w:p>
          <w:p>
            <w:pPr>
              <w:adjustRightInd w:val="0"/>
              <w:snapToGrid w:val="0"/>
              <w:spacing w:line="360" w:lineRule="auto"/>
              <w:rPr>
                <w:rFonts w:hint="eastAsia"/>
                <w:b/>
                <w:bCs/>
                <w:sz w:val="24"/>
              </w:rPr>
            </w:pPr>
            <w:r>
              <w:rPr>
                <w:rFonts w:hint="eastAsia"/>
                <w:b/>
                <w:bCs/>
                <w:sz w:val="24"/>
              </w:rPr>
              <w:t>2</w:t>
            </w:r>
            <w:r>
              <w:rPr>
                <w:b/>
                <w:bCs/>
                <w:sz w:val="24"/>
              </w:rPr>
              <w:t>、</w:t>
            </w:r>
            <w:r>
              <w:rPr>
                <w:rFonts w:hint="eastAsia"/>
                <w:b/>
                <w:bCs/>
                <w:sz w:val="24"/>
              </w:rPr>
              <w:t>地表水环境影响分析</w:t>
            </w:r>
          </w:p>
          <w:p>
            <w:pPr>
              <w:pStyle w:val="5"/>
              <w:spacing w:line="360" w:lineRule="auto"/>
              <w:ind w:firstLine="482"/>
              <w:rPr>
                <w:rFonts w:hint="eastAsia"/>
                <w:b/>
                <w:bCs/>
                <w:sz w:val="24"/>
              </w:rPr>
            </w:pPr>
            <w:r>
              <w:rPr>
                <w:rFonts w:hint="eastAsia"/>
                <w:b/>
                <w:bCs/>
                <w:sz w:val="24"/>
              </w:rPr>
              <w:t>（1）废水源强</w:t>
            </w:r>
          </w:p>
          <w:p>
            <w:pPr>
              <w:pStyle w:val="5"/>
              <w:spacing w:line="360" w:lineRule="auto"/>
              <w:ind w:firstLine="482"/>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营运期废水主要为生活污水、纯水制备产生的反渗透浓水、清洗废水以及研磨水箱更换废液。生活污水排放量300t/a，主要污染物为COD、SS、NH</w:t>
            </w:r>
            <w:r>
              <w:rPr>
                <w:rFonts w:hint="eastAsia" w:ascii="Times New Roman" w:hAnsi="Times New Roman" w:eastAsia="宋体" w:cs="Times New Roman"/>
                <w:b w:val="0"/>
                <w:bCs w:val="0"/>
                <w:sz w:val="24"/>
                <w:vertAlign w:val="subscript"/>
                <w:lang w:val="en-US" w:eastAsia="zh-CN"/>
              </w:rPr>
              <w:t>3</w:t>
            </w:r>
            <w:r>
              <w:rPr>
                <w:rFonts w:hint="eastAsia" w:ascii="Times New Roman" w:hAnsi="Times New Roman" w:eastAsia="宋体" w:cs="Times New Roman"/>
                <w:b w:val="0"/>
                <w:bCs w:val="0"/>
                <w:sz w:val="24"/>
                <w:lang w:val="en-US" w:eastAsia="zh-CN"/>
              </w:rPr>
              <w:t>-N、TP、TN；反渗透浓水排放量27t/a，主要污染物COD、SS；清洗废水排放量54.9t/a，主要污染物为COD、SS。研磨水箱更换废液统一收集处理，不外排。</w:t>
            </w:r>
          </w:p>
          <w:p>
            <w:pPr>
              <w:pStyle w:val="5"/>
              <w:spacing w:line="360" w:lineRule="auto"/>
              <w:ind w:firstLine="482"/>
              <w:rPr>
                <w:rFonts w:hint="default"/>
                <w:b w:val="0"/>
                <w:bCs w:val="0"/>
                <w:sz w:val="24"/>
                <w:lang w:val="en-US" w:eastAsia="zh-CN"/>
              </w:rPr>
            </w:pPr>
            <w:r>
              <w:rPr>
                <w:rFonts w:hint="eastAsia" w:ascii="Times New Roman" w:hAnsi="Times New Roman" w:eastAsia="宋体" w:cs="Times New Roman"/>
                <w:b w:val="0"/>
                <w:bCs w:val="0"/>
                <w:sz w:val="24"/>
                <w:lang w:val="en-US" w:eastAsia="zh-CN"/>
              </w:rPr>
              <w:t>本项目生活污水、纯水制备产生的反渗透浓水、清洗废水依托所在园区的污水管道接管至金坛区第二污水处理厂集中处理，处理后尾水排入尧塘河。</w:t>
            </w:r>
          </w:p>
          <w:p>
            <w:pPr>
              <w:jc w:val="center"/>
              <w:rPr>
                <w:sz w:val="24"/>
              </w:rPr>
            </w:pPr>
            <w:r>
              <w:rPr>
                <w:b/>
                <w:bCs/>
                <w:sz w:val="24"/>
              </w:rPr>
              <w:t>表4-</w:t>
            </w:r>
            <w:r>
              <w:rPr>
                <w:rFonts w:hint="eastAsia"/>
                <w:b/>
                <w:bCs/>
                <w:sz w:val="24"/>
                <w:lang w:val="en-US" w:eastAsia="zh-CN"/>
              </w:rPr>
              <w:t>1</w:t>
            </w:r>
            <w:r>
              <w:rPr>
                <w:b/>
                <w:bCs/>
                <w:sz w:val="24"/>
              </w:rPr>
              <w:t xml:space="preserve">  建设项目</w:t>
            </w:r>
            <w:r>
              <w:rPr>
                <w:rFonts w:hint="eastAsia"/>
                <w:b/>
                <w:bCs/>
                <w:sz w:val="24"/>
              </w:rPr>
              <w:t>废水</w:t>
            </w:r>
            <w:r>
              <w:rPr>
                <w:b/>
                <w:bCs/>
                <w:sz w:val="24"/>
              </w:rPr>
              <w:t>产生和排放情况表</w:t>
            </w:r>
          </w:p>
          <w:tbl>
            <w:tblPr>
              <w:tblStyle w:val="23"/>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397"/>
              <w:gridCol w:w="803"/>
              <w:gridCol w:w="397"/>
              <w:gridCol w:w="642"/>
              <w:gridCol w:w="674"/>
              <w:gridCol w:w="813"/>
              <w:gridCol w:w="404"/>
              <w:gridCol w:w="449"/>
              <w:gridCol w:w="559"/>
              <w:gridCol w:w="628"/>
              <w:gridCol w:w="700"/>
              <w:gridCol w:w="928"/>
              <w:gridCol w:w="5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vMerge w:val="restart"/>
                  <w:noWrap w:val="0"/>
                  <w:vAlign w:val="center"/>
                </w:tcPr>
                <w:p>
                  <w:pPr>
                    <w:pStyle w:val="47"/>
                    <w:rPr>
                      <w:rFonts w:eastAsia="宋体"/>
                      <w:sz w:val="18"/>
                      <w:szCs w:val="18"/>
                    </w:rPr>
                  </w:pPr>
                  <w:r>
                    <w:rPr>
                      <w:rFonts w:eastAsia="宋体"/>
                      <w:sz w:val="18"/>
                      <w:szCs w:val="18"/>
                    </w:rPr>
                    <w:t>工序/生产线</w:t>
                  </w:r>
                </w:p>
              </w:tc>
              <w:tc>
                <w:tcPr>
                  <w:tcW w:w="236" w:type="pct"/>
                  <w:vMerge w:val="restart"/>
                  <w:noWrap w:val="0"/>
                  <w:vAlign w:val="center"/>
                </w:tcPr>
                <w:p>
                  <w:pPr>
                    <w:pStyle w:val="47"/>
                    <w:rPr>
                      <w:rFonts w:eastAsia="宋体"/>
                      <w:sz w:val="18"/>
                      <w:szCs w:val="18"/>
                    </w:rPr>
                  </w:pPr>
                  <w:r>
                    <w:rPr>
                      <w:rFonts w:eastAsia="宋体"/>
                      <w:sz w:val="18"/>
                      <w:szCs w:val="18"/>
                    </w:rPr>
                    <w:t>污染源</w:t>
                  </w:r>
                </w:p>
              </w:tc>
              <w:tc>
                <w:tcPr>
                  <w:tcW w:w="480" w:type="pct"/>
                  <w:vMerge w:val="restart"/>
                  <w:noWrap w:val="0"/>
                  <w:vAlign w:val="center"/>
                </w:tcPr>
                <w:p>
                  <w:pPr>
                    <w:pStyle w:val="47"/>
                    <w:rPr>
                      <w:rFonts w:eastAsia="宋体"/>
                      <w:sz w:val="18"/>
                      <w:szCs w:val="18"/>
                    </w:rPr>
                  </w:pPr>
                  <w:r>
                    <w:rPr>
                      <w:rFonts w:eastAsia="宋体"/>
                      <w:sz w:val="18"/>
                      <w:szCs w:val="18"/>
                    </w:rPr>
                    <w:t>污染物</w:t>
                  </w:r>
                </w:p>
              </w:tc>
              <w:tc>
                <w:tcPr>
                  <w:tcW w:w="1509" w:type="pct"/>
                  <w:gridSpan w:val="4"/>
                  <w:noWrap w:val="0"/>
                  <w:vAlign w:val="center"/>
                </w:tcPr>
                <w:p>
                  <w:pPr>
                    <w:pStyle w:val="47"/>
                    <w:rPr>
                      <w:rFonts w:eastAsia="宋体"/>
                      <w:sz w:val="18"/>
                      <w:szCs w:val="18"/>
                    </w:rPr>
                  </w:pPr>
                  <w:r>
                    <w:rPr>
                      <w:rFonts w:eastAsia="宋体"/>
                      <w:sz w:val="18"/>
                      <w:szCs w:val="18"/>
                    </w:rPr>
                    <w:t>污染物产生</w:t>
                  </w:r>
                </w:p>
              </w:tc>
              <w:tc>
                <w:tcPr>
                  <w:tcW w:w="510" w:type="pct"/>
                  <w:gridSpan w:val="2"/>
                  <w:noWrap w:val="0"/>
                  <w:vAlign w:val="center"/>
                </w:tcPr>
                <w:p>
                  <w:pPr>
                    <w:pStyle w:val="47"/>
                    <w:rPr>
                      <w:rFonts w:eastAsia="宋体"/>
                      <w:sz w:val="18"/>
                      <w:szCs w:val="18"/>
                    </w:rPr>
                  </w:pPr>
                  <w:r>
                    <w:rPr>
                      <w:rFonts w:eastAsia="宋体"/>
                      <w:sz w:val="18"/>
                      <w:szCs w:val="18"/>
                    </w:rPr>
                    <w:t>治理措施</w:t>
                  </w:r>
                </w:p>
              </w:tc>
              <w:tc>
                <w:tcPr>
                  <w:tcW w:w="1681" w:type="pct"/>
                  <w:gridSpan w:val="4"/>
                  <w:noWrap w:val="0"/>
                  <w:vAlign w:val="center"/>
                </w:tcPr>
                <w:p>
                  <w:pPr>
                    <w:pStyle w:val="47"/>
                    <w:rPr>
                      <w:rFonts w:eastAsia="宋体"/>
                      <w:sz w:val="18"/>
                      <w:szCs w:val="18"/>
                    </w:rPr>
                  </w:pPr>
                  <w:r>
                    <w:rPr>
                      <w:rFonts w:eastAsia="宋体"/>
                      <w:sz w:val="18"/>
                      <w:szCs w:val="18"/>
                    </w:rPr>
                    <w:t>污染物排放</w:t>
                  </w:r>
                </w:p>
              </w:tc>
              <w:tc>
                <w:tcPr>
                  <w:tcW w:w="344" w:type="pct"/>
                  <w:vMerge w:val="restart"/>
                  <w:noWrap w:val="0"/>
                  <w:vAlign w:val="center"/>
                </w:tcPr>
                <w:p>
                  <w:pPr>
                    <w:pStyle w:val="47"/>
                    <w:rPr>
                      <w:rFonts w:eastAsia="宋体"/>
                      <w:sz w:val="18"/>
                      <w:szCs w:val="18"/>
                    </w:rPr>
                  </w:pPr>
                  <w:r>
                    <w:rPr>
                      <w:rFonts w:eastAsia="宋体"/>
                      <w:sz w:val="18"/>
                      <w:szCs w:val="18"/>
                    </w:rPr>
                    <w:t>排放时间/h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vMerge w:val="continue"/>
                  <w:noWrap w:val="0"/>
                  <w:vAlign w:val="center"/>
                </w:tcPr>
                <w:p>
                  <w:pPr>
                    <w:pStyle w:val="47"/>
                    <w:rPr>
                      <w:rFonts w:eastAsia="宋体"/>
                      <w:sz w:val="18"/>
                      <w:szCs w:val="18"/>
                    </w:rPr>
                  </w:pPr>
                </w:p>
              </w:tc>
              <w:tc>
                <w:tcPr>
                  <w:tcW w:w="236" w:type="pct"/>
                  <w:vMerge w:val="continue"/>
                  <w:noWrap w:val="0"/>
                  <w:vAlign w:val="center"/>
                </w:tcPr>
                <w:p>
                  <w:pPr>
                    <w:pStyle w:val="47"/>
                    <w:rPr>
                      <w:rFonts w:eastAsia="宋体"/>
                      <w:sz w:val="18"/>
                      <w:szCs w:val="18"/>
                    </w:rPr>
                  </w:pPr>
                </w:p>
              </w:tc>
              <w:tc>
                <w:tcPr>
                  <w:tcW w:w="480" w:type="pct"/>
                  <w:vMerge w:val="continue"/>
                  <w:noWrap w:val="0"/>
                  <w:vAlign w:val="center"/>
                </w:tcPr>
                <w:p>
                  <w:pPr>
                    <w:pStyle w:val="47"/>
                    <w:rPr>
                      <w:rFonts w:eastAsia="宋体"/>
                      <w:sz w:val="18"/>
                      <w:szCs w:val="18"/>
                    </w:rPr>
                  </w:pPr>
                </w:p>
              </w:tc>
              <w:tc>
                <w:tcPr>
                  <w:tcW w:w="236" w:type="pct"/>
                  <w:tcBorders>
                    <w:right w:val="single" w:color="000000" w:sz="4" w:space="0"/>
                  </w:tcBorders>
                  <w:noWrap w:val="0"/>
                  <w:vAlign w:val="center"/>
                </w:tcPr>
                <w:p>
                  <w:pPr>
                    <w:pStyle w:val="47"/>
                    <w:rPr>
                      <w:rFonts w:eastAsia="宋体"/>
                      <w:sz w:val="18"/>
                      <w:szCs w:val="18"/>
                    </w:rPr>
                  </w:pPr>
                  <w:r>
                    <w:rPr>
                      <w:rFonts w:eastAsia="宋体"/>
                      <w:sz w:val="18"/>
                      <w:szCs w:val="18"/>
                    </w:rPr>
                    <w:t>核算方法</w:t>
                  </w:r>
                </w:p>
              </w:tc>
              <w:tc>
                <w:tcPr>
                  <w:tcW w:w="384" w:type="pct"/>
                  <w:tcBorders>
                    <w:left w:val="single" w:color="000000" w:sz="4" w:space="0"/>
                  </w:tcBorders>
                  <w:noWrap w:val="0"/>
                  <w:vAlign w:val="center"/>
                </w:tcPr>
                <w:p>
                  <w:pPr>
                    <w:pStyle w:val="47"/>
                    <w:rPr>
                      <w:rFonts w:eastAsia="宋体"/>
                      <w:sz w:val="18"/>
                      <w:szCs w:val="18"/>
                    </w:rPr>
                  </w:pPr>
                  <w:r>
                    <w:rPr>
                      <w:rFonts w:eastAsia="宋体"/>
                      <w:sz w:val="18"/>
                      <w:szCs w:val="18"/>
                    </w:rPr>
                    <w:t>产生废水量t/a</w:t>
                  </w:r>
                </w:p>
              </w:tc>
              <w:tc>
                <w:tcPr>
                  <w:tcW w:w="403" w:type="pct"/>
                  <w:noWrap w:val="0"/>
                  <w:vAlign w:val="center"/>
                </w:tcPr>
                <w:p>
                  <w:pPr>
                    <w:pStyle w:val="47"/>
                    <w:rPr>
                      <w:rFonts w:eastAsia="宋体"/>
                      <w:sz w:val="18"/>
                      <w:szCs w:val="18"/>
                    </w:rPr>
                  </w:pPr>
                  <w:r>
                    <w:rPr>
                      <w:rFonts w:eastAsia="宋体"/>
                      <w:sz w:val="18"/>
                      <w:szCs w:val="18"/>
                    </w:rPr>
                    <w:t>产生浓度mg/L</w:t>
                  </w:r>
                </w:p>
              </w:tc>
              <w:tc>
                <w:tcPr>
                  <w:tcW w:w="485" w:type="pct"/>
                  <w:noWrap w:val="0"/>
                  <w:vAlign w:val="center"/>
                </w:tcPr>
                <w:p>
                  <w:pPr>
                    <w:pStyle w:val="47"/>
                    <w:rPr>
                      <w:rFonts w:eastAsia="宋体"/>
                      <w:sz w:val="18"/>
                      <w:szCs w:val="18"/>
                    </w:rPr>
                  </w:pPr>
                  <w:r>
                    <w:rPr>
                      <w:rFonts w:eastAsia="宋体"/>
                      <w:sz w:val="18"/>
                      <w:szCs w:val="18"/>
                    </w:rPr>
                    <w:t>产生量t/a</w:t>
                  </w:r>
                </w:p>
              </w:tc>
              <w:tc>
                <w:tcPr>
                  <w:tcW w:w="242" w:type="pct"/>
                  <w:noWrap w:val="0"/>
                  <w:vAlign w:val="center"/>
                </w:tcPr>
                <w:p>
                  <w:pPr>
                    <w:pStyle w:val="47"/>
                    <w:rPr>
                      <w:rFonts w:eastAsia="宋体"/>
                      <w:sz w:val="18"/>
                      <w:szCs w:val="18"/>
                    </w:rPr>
                  </w:pPr>
                  <w:r>
                    <w:rPr>
                      <w:rFonts w:eastAsia="宋体"/>
                      <w:sz w:val="18"/>
                      <w:szCs w:val="18"/>
                    </w:rPr>
                    <w:t>工艺</w:t>
                  </w:r>
                </w:p>
              </w:tc>
              <w:tc>
                <w:tcPr>
                  <w:tcW w:w="267" w:type="pct"/>
                  <w:noWrap w:val="0"/>
                  <w:vAlign w:val="center"/>
                </w:tcPr>
                <w:p>
                  <w:pPr>
                    <w:pStyle w:val="47"/>
                    <w:rPr>
                      <w:rFonts w:eastAsia="宋体"/>
                      <w:sz w:val="18"/>
                      <w:szCs w:val="18"/>
                    </w:rPr>
                  </w:pPr>
                  <w:r>
                    <w:rPr>
                      <w:rFonts w:eastAsia="宋体"/>
                      <w:sz w:val="18"/>
                      <w:szCs w:val="18"/>
                    </w:rPr>
                    <w:t>效率/%</w:t>
                  </w:r>
                </w:p>
              </w:tc>
              <w:tc>
                <w:tcPr>
                  <w:tcW w:w="334" w:type="pct"/>
                  <w:tcBorders>
                    <w:right w:val="single" w:color="000000" w:sz="4" w:space="0"/>
                  </w:tcBorders>
                  <w:noWrap w:val="0"/>
                  <w:vAlign w:val="center"/>
                </w:tcPr>
                <w:p>
                  <w:pPr>
                    <w:pStyle w:val="47"/>
                    <w:rPr>
                      <w:rFonts w:eastAsia="宋体"/>
                      <w:sz w:val="18"/>
                      <w:szCs w:val="18"/>
                    </w:rPr>
                  </w:pPr>
                  <w:r>
                    <w:rPr>
                      <w:rFonts w:eastAsia="宋体"/>
                      <w:sz w:val="18"/>
                      <w:szCs w:val="18"/>
                    </w:rPr>
                    <w:t>核算方法</w:t>
                  </w:r>
                </w:p>
              </w:tc>
              <w:tc>
                <w:tcPr>
                  <w:tcW w:w="375" w:type="pct"/>
                  <w:tcBorders>
                    <w:left w:val="single" w:color="000000" w:sz="4" w:space="0"/>
                  </w:tcBorders>
                  <w:noWrap w:val="0"/>
                  <w:vAlign w:val="center"/>
                </w:tcPr>
                <w:p>
                  <w:pPr>
                    <w:pStyle w:val="47"/>
                    <w:rPr>
                      <w:rFonts w:eastAsia="宋体"/>
                      <w:sz w:val="18"/>
                      <w:szCs w:val="18"/>
                    </w:rPr>
                  </w:pPr>
                  <w:r>
                    <w:rPr>
                      <w:rFonts w:eastAsia="宋体"/>
                      <w:sz w:val="18"/>
                      <w:szCs w:val="18"/>
                    </w:rPr>
                    <w:t>排放废水量t/a</w:t>
                  </w:r>
                </w:p>
              </w:tc>
              <w:tc>
                <w:tcPr>
                  <w:tcW w:w="418" w:type="pct"/>
                  <w:noWrap w:val="0"/>
                  <w:vAlign w:val="center"/>
                </w:tcPr>
                <w:p>
                  <w:pPr>
                    <w:pStyle w:val="47"/>
                    <w:rPr>
                      <w:rFonts w:eastAsia="宋体"/>
                      <w:sz w:val="18"/>
                      <w:szCs w:val="18"/>
                    </w:rPr>
                  </w:pPr>
                  <w:r>
                    <w:rPr>
                      <w:rFonts w:eastAsia="宋体"/>
                      <w:sz w:val="18"/>
                      <w:szCs w:val="18"/>
                    </w:rPr>
                    <w:t>排放浓度mg/L</w:t>
                  </w:r>
                </w:p>
              </w:tc>
              <w:tc>
                <w:tcPr>
                  <w:tcW w:w="553" w:type="pct"/>
                  <w:noWrap w:val="0"/>
                  <w:vAlign w:val="center"/>
                </w:tcPr>
                <w:p>
                  <w:pPr>
                    <w:pStyle w:val="47"/>
                    <w:rPr>
                      <w:rFonts w:eastAsia="宋体"/>
                      <w:sz w:val="18"/>
                      <w:szCs w:val="18"/>
                    </w:rPr>
                  </w:pPr>
                  <w:r>
                    <w:rPr>
                      <w:rFonts w:eastAsia="宋体"/>
                      <w:sz w:val="18"/>
                      <w:szCs w:val="18"/>
                    </w:rPr>
                    <w:t>排放量t/a</w:t>
                  </w:r>
                </w:p>
              </w:tc>
              <w:tc>
                <w:tcPr>
                  <w:tcW w:w="344" w:type="pct"/>
                  <w:vMerge w:val="continue"/>
                  <w:noWrap w:val="0"/>
                  <w:vAlign w:val="center"/>
                </w:tcPr>
                <w:p>
                  <w:pPr>
                    <w:pStyle w:val="47"/>
                    <w:rPr>
                      <w:rFonts w:eastAsia="宋体"/>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vMerge w:val="restart"/>
                  <w:noWrap w:val="0"/>
                  <w:vAlign w:val="center"/>
                </w:tcPr>
                <w:p>
                  <w:pPr>
                    <w:adjustRightInd w:val="0"/>
                    <w:snapToGrid w:val="0"/>
                    <w:jc w:val="center"/>
                    <w:rPr>
                      <w:sz w:val="18"/>
                      <w:szCs w:val="18"/>
                    </w:rPr>
                  </w:pPr>
                  <w:r>
                    <w:rPr>
                      <w:sz w:val="18"/>
                      <w:szCs w:val="18"/>
                    </w:rPr>
                    <w:t>职工生活</w:t>
                  </w:r>
                </w:p>
              </w:tc>
              <w:tc>
                <w:tcPr>
                  <w:tcW w:w="236" w:type="pct"/>
                  <w:vMerge w:val="restart"/>
                  <w:noWrap w:val="0"/>
                  <w:vAlign w:val="center"/>
                </w:tcPr>
                <w:p>
                  <w:pPr>
                    <w:adjustRightInd w:val="0"/>
                    <w:snapToGrid w:val="0"/>
                    <w:jc w:val="center"/>
                    <w:rPr>
                      <w:sz w:val="18"/>
                      <w:szCs w:val="18"/>
                    </w:rPr>
                  </w:pPr>
                  <w:r>
                    <w:rPr>
                      <w:sz w:val="18"/>
                      <w:szCs w:val="18"/>
                    </w:rPr>
                    <w:t>生活污水</w:t>
                  </w:r>
                </w:p>
              </w:tc>
              <w:tc>
                <w:tcPr>
                  <w:tcW w:w="480" w:type="pct"/>
                  <w:noWrap w:val="0"/>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COD</w:t>
                  </w:r>
                </w:p>
              </w:tc>
              <w:tc>
                <w:tcPr>
                  <w:tcW w:w="236" w:type="pct"/>
                  <w:vMerge w:val="restart"/>
                  <w:noWrap w:val="0"/>
                  <w:vAlign w:val="center"/>
                </w:tcPr>
                <w:p>
                  <w:pPr>
                    <w:widowControl/>
                    <w:adjustRightInd w:val="0"/>
                    <w:snapToGrid w:val="0"/>
                    <w:jc w:val="center"/>
                    <w:rPr>
                      <w:kern w:val="0"/>
                      <w:sz w:val="18"/>
                      <w:szCs w:val="18"/>
                    </w:rPr>
                  </w:pPr>
                  <w:r>
                    <w:rPr>
                      <w:kern w:val="0"/>
                      <w:sz w:val="18"/>
                      <w:szCs w:val="18"/>
                    </w:rPr>
                    <w:t>产污系数法</w:t>
                  </w:r>
                </w:p>
              </w:tc>
              <w:tc>
                <w:tcPr>
                  <w:tcW w:w="384" w:type="pct"/>
                  <w:vMerge w:val="restart"/>
                  <w:noWrap w:val="0"/>
                  <w:vAlign w:val="center"/>
                </w:tcPr>
                <w:p>
                  <w:pPr>
                    <w:adjustRightInd w:val="0"/>
                    <w:snapToGrid w:val="0"/>
                    <w:jc w:val="center"/>
                    <w:rPr>
                      <w:rFonts w:hint="default" w:eastAsia="宋体"/>
                      <w:kern w:val="0"/>
                      <w:sz w:val="18"/>
                      <w:szCs w:val="18"/>
                      <w:lang w:val="en-US" w:eastAsia="zh-CN"/>
                    </w:rPr>
                  </w:pPr>
                  <w:r>
                    <w:rPr>
                      <w:rFonts w:hint="eastAsia"/>
                      <w:kern w:val="0"/>
                      <w:sz w:val="18"/>
                      <w:szCs w:val="18"/>
                      <w:lang w:val="en-US" w:eastAsia="zh-CN"/>
                    </w:rPr>
                    <w:t>300</w:t>
                  </w:r>
                </w:p>
              </w:tc>
              <w:tc>
                <w:tcPr>
                  <w:tcW w:w="403" w:type="pct"/>
                  <w:noWrap w:val="0"/>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380</w:t>
                  </w:r>
                </w:p>
              </w:tc>
              <w:tc>
                <w:tcPr>
                  <w:tcW w:w="485" w:type="pct"/>
                  <w:noWrap w:val="0"/>
                  <w:vAlign w:val="center"/>
                </w:tcPr>
                <w:p>
                  <w:pPr>
                    <w:widowControl/>
                    <w:jc w:val="center"/>
                    <w:textAlignment w:val="center"/>
                    <w:rPr>
                      <w:rFonts w:hint="default" w:eastAsia="宋体"/>
                      <w:sz w:val="18"/>
                      <w:szCs w:val="18"/>
                      <w:lang w:val="en-US" w:eastAsia="zh-CN"/>
                    </w:rPr>
                  </w:pPr>
                  <w:r>
                    <w:rPr>
                      <w:rFonts w:hint="eastAsia"/>
                      <w:sz w:val="18"/>
                      <w:szCs w:val="18"/>
                    </w:rPr>
                    <w:t>0.</w:t>
                  </w:r>
                  <w:r>
                    <w:rPr>
                      <w:rFonts w:hint="eastAsia"/>
                      <w:sz w:val="18"/>
                      <w:szCs w:val="18"/>
                      <w:lang w:val="en-US" w:eastAsia="zh-CN"/>
                    </w:rPr>
                    <w:t>114</w:t>
                  </w:r>
                </w:p>
              </w:tc>
              <w:tc>
                <w:tcPr>
                  <w:tcW w:w="242" w:type="pct"/>
                  <w:vMerge w:val="restart"/>
                  <w:noWrap w:val="0"/>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w:t>
                  </w:r>
                </w:p>
              </w:tc>
              <w:tc>
                <w:tcPr>
                  <w:tcW w:w="267" w:type="pct"/>
                  <w:noWrap w:val="0"/>
                  <w:vAlign w:val="center"/>
                </w:tcPr>
                <w:p>
                  <w:pPr>
                    <w:widowControl/>
                    <w:adjustRightInd w:val="0"/>
                    <w:snapToGrid w:val="0"/>
                    <w:jc w:val="center"/>
                    <w:textAlignment w:val="center"/>
                    <w:rPr>
                      <w:sz w:val="18"/>
                      <w:szCs w:val="18"/>
                    </w:rPr>
                  </w:pPr>
                  <w:r>
                    <w:rPr>
                      <w:rFonts w:hint="eastAsia"/>
                      <w:sz w:val="18"/>
                      <w:szCs w:val="18"/>
                    </w:rPr>
                    <w:t>/</w:t>
                  </w:r>
                </w:p>
              </w:tc>
              <w:tc>
                <w:tcPr>
                  <w:tcW w:w="334" w:type="pct"/>
                  <w:vMerge w:val="restart"/>
                  <w:noWrap w:val="0"/>
                  <w:vAlign w:val="center"/>
                </w:tcPr>
                <w:p>
                  <w:pPr>
                    <w:adjustRightInd w:val="0"/>
                    <w:snapToGrid w:val="0"/>
                    <w:jc w:val="center"/>
                    <w:rPr>
                      <w:kern w:val="0"/>
                      <w:sz w:val="18"/>
                      <w:szCs w:val="18"/>
                    </w:rPr>
                  </w:pPr>
                  <w:r>
                    <w:rPr>
                      <w:kern w:val="0"/>
                      <w:sz w:val="18"/>
                      <w:szCs w:val="18"/>
                    </w:rPr>
                    <w:t>产污系数法</w:t>
                  </w:r>
                </w:p>
              </w:tc>
              <w:tc>
                <w:tcPr>
                  <w:tcW w:w="621" w:type="dxa"/>
                  <w:vMerge w:val="restart"/>
                  <w:noWrap w:val="0"/>
                  <w:vAlign w:val="center"/>
                </w:tcPr>
                <w:p>
                  <w:pPr>
                    <w:adjustRightInd w:val="0"/>
                    <w:snapToGrid w:val="0"/>
                    <w:jc w:val="center"/>
                    <w:rPr>
                      <w:rFonts w:hint="default" w:eastAsia="宋体"/>
                      <w:sz w:val="18"/>
                      <w:szCs w:val="18"/>
                      <w:lang w:val="en-US" w:eastAsia="zh-CN"/>
                    </w:rPr>
                  </w:pPr>
                  <w:r>
                    <w:rPr>
                      <w:rFonts w:hint="eastAsia"/>
                      <w:kern w:val="0"/>
                      <w:sz w:val="18"/>
                      <w:szCs w:val="18"/>
                      <w:lang w:val="en-US" w:eastAsia="zh-CN"/>
                    </w:rPr>
                    <w:t>300</w:t>
                  </w:r>
                </w:p>
              </w:tc>
              <w:tc>
                <w:tcPr>
                  <w:tcW w:w="692" w:type="dxa"/>
                  <w:noWrap w:val="0"/>
                  <w:vAlign w:val="center"/>
                </w:tcPr>
                <w:p>
                  <w:pPr>
                    <w:adjustRightInd w:val="0"/>
                    <w:snapToGrid w:val="0"/>
                    <w:jc w:val="center"/>
                    <w:rPr>
                      <w:sz w:val="18"/>
                      <w:szCs w:val="18"/>
                    </w:rPr>
                  </w:pPr>
                  <w:r>
                    <w:rPr>
                      <w:rFonts w:hint="eastAsia"/>
                      <w:sz w:val="18"/>
                      <w:szCs w:val="18"/>
                      <w:lang w:val="en-US" w:eastAsia="zh-CN"/>
                    </w:rPr>
                    <w:t>380</w:t>
                  </w:r>
                </w:p>
              </w:tc>
              <w:tc>
                <w:tcPr>
                  <w:tcW w:w="916" w:type="dxa"/>
                  <w:noWrap w:val="0"/>
                  <w:vAlign w:val="center"/>
                </w:tcPr>
                <w:p>
                  <w:pPr>
                    <w:widowControl/>
                    <w:jc w:val="center"/>
                    <w:textAlignment w:val="center"/>
                    <w:rPr>
                      <w:sz w:val="18"/>
                      <w:szCs w:val="18"/>
                    </w:rPr>
                  </w:pPr>
                  <w:r>
                    <w:rPr>
                      <w:rFonts w:hint="eastAsia"/>
                      <w:sz w:val="18"/>
                      <w:szCs w:val="18"/>
                    </w:rPr>
                    <w:t>0.</w:t>
                  </w:r>
                  <w:r>
                    <w:rPr>
                      <w:rFonts w:hint="eastAsia"/>
                      <w:sz w:val="18"/>
                      <w:szCs w:val="18"/>
                      <w:lang w:val="en-US" w:eastAsia="zh-CN"/>
                    </w:rPr>
                    <w:t>114</w:t>
                  </w:r>
                </w:p>
              </w:tc>
              <w:tc>
                <w:tcPr>
                  <w:tcW w:w="344" w:type="pct"/>
                  <w:vMerge w:val="restart"/>
                  <w:noWrap w:val="0"/>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vMerge w:val="continue"/>
                  <w:noWrap w:val="0"/>
                  <w:vAlign w:val="center"/>
                </w:tcPr>
                <w:p>
                  <w:pPr>
                    <w:adjustRightInd w:val="0"/>
                    <w:snapToGrid w:val="0"/>
                    <w:jc w:val="center"/>
                    <w:rPr>
                      <w:sz w:val="18"/>
                      <w:szCs w:val="18"/>
                    </w:rPr>
                  </w:pPr>
                </w:p>
              </w:tc>
              <w:tc>
                <w:tcPr>
                  <w:tcW w:w="236" w:type="pct"/>
                  <w:vMerge w:val="continue"/>
                  <w:noWrap w:val="0"/>
                  <w:vAlign w:val="center"/>
                </w:tcPr>
                <w:p>
                  <w:pPr>
                    <w:adjustRightInd w:val="0"/>
                    <w:snapToGrid w:val="0"/>
                    <w:jc w:val="center"/>
                    <w:rPr>
                      <w:sz w:val="18"/>
                      <w:szCs w:val="18"/>
                    </w:rPr>
                  </w:pPr>
                </w:p>
              </w:tc>
              <w:tc>
                <w:tcPr>
                  <w:tcW w:w="480" w:type="pct"/>
                  <w:noWrap w:val="0"/>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SS</w:t>
                  </w:r>
                </w:p>
              </w:tc>
              <w:tc>
                <w:tcPr>
                  <w:tcW w:w="236" w:type="pct"/>
                  <w:vMerge w:val="continue"/>
                  <w:noWrap w:val="0"/>
                  <w:vAlign w:val="center"/>
                </w:tcPr>
                <w:p>
                  <w:pPr>
                    <w:widowControl/>
                    <w:adjustRightInd w:val="0"/>
                    <w:snapToGrid w:val="0"/>
                    <w:jc w:val="center"/>
                    <w:rPr>
                      <w:kern w:val="0"/>
                      <w:sz w:val="18"/>
                      <w:szCs w:val="18"/>
                    </w:rPr>
                  </w:pPr>
                </w:p>
              </w:tc>
              <w:tc>
                <w:tcPr>
                  <w:tcW w:w="384" w:type="pct"/>
                  <w:vMerge w:val="continue"/>
                  <w:noWrap w:val="0"/>
                  <w:vAlign w:val="center"/>
                </w:tcPr>
                <w:p>
                  <w:pPr>
                    <w:adjustRightInd w:val="0"/>
                    <w:snapToGrid w:val="0"/>
                    <w:jc w:val="center"/>
                    <w:rPr>
                      <w:kern w:val="0"/>
                      <w:sz w:val="18"/>
                      <w:szCs w:val="18"/>
                    </w:rPr>
                  </w:pPr>
                </w:p>
              </w:tc>
              <w:tc>
                <w:tcPr>
                  <w:tcW w:w="403" w:type="pct"/>
                  <w:noWrap w:val="0"/>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260</w:t>
                  </w:r>
                </w:p>
              </w:tc>
              <w:tc>
                <w:tcPr>
                  <w:tcW w:w="485" w:type="pct"/>
                  <w:noWrap w:val="0"/>
                  <w:vAlign w:val="center"/>
                </w:tcPr>
                <w:p>
                  <w:pPr>
                    <w:widowControl/>
                    <w:jc w:val="center"/>
                    <w:textAlignment w:val="center"/>
                    <w:rPr>
                      <w:rFonts w:hint="default" w:eastAsia="宋体"/>
                      <w:sz w:val="18"/>
                      <w:szCs w:val="18"/>
                      <w:lang w:val="en-US" w:eastAsia="zh-CN"/>
                    </w:rPr>
                  </w:pPr>
                  <w:r>
                    <w:rPr>
                      <w:rFonts w:hint="eastAsia" w:eastAsia="宋体"/>
                      <w:sz w:val="18"/>
                      <w:szCs w:val="18"/>
                      <w:lang w:val="en-US" w:eastAsia="zh-CN"/>
                    </w:rPr>
                    <w:t>0.078</w:t>
                  </w:r>
                </w:p>
              </w:tc>
              <w:tc>
                <w:tcPr>
                  <w:tcW w:w="242" w:type="pct"/>
                  <w:vMerge w:val="continue"/>
                  <w:noWrap w:val="0"/>
                  <w:vAlign w:val="center"/>
                </w:tcPr>
                <w:p>
                  <w:pPr>
                    <w:adjustRightInd w:val="0"/>
                    <w:snapToGrid w:val="0"/>
                    <w:jc w:val="center"/>
                    <w:rPr>
                      <w:sz w:val="18"/>
                      <w:szCs w:val="18"/>
                    </w:rPr>
                  </w:pPr>
                </w:p>
              </w:tc>
              <w:tc>
                <w:tcPr>
                  <w:tcW w:w="267" w:type="pct"/>
                  <w:noWrap w:val="0"/>
                  <w:vAlign w:val="center"/>
                </w:tcPr>
                <w:p>
                  <w:pPr>
                    <w:widowControl/>
                    <w:adjustRightInd w:val="0"/>
                    <w:snapToGrid w:val="0"/>
                    <w:jc w:val="center"/>
                    <w:textAlignment w:val="center"/>
                    <w:rPr>
                      <w:sz w:val="18"/>
                      <w:szCs w:val="18"/>
                    </w:rPr>
                  </w:pPr>
                  <w:r>
                    <w:rPr>
                      <w:rFonts w:hint="eastAsia"/>
                      <w:sz w:val="18"/>
                      <w:szCs w:val="18"/>
                    </w:rPr>
                    <w:t>/</w:t>
                  </w:r>
                </w:p>
              </w:tc>
              <w:tc>
                <w:tcPr>
                  <w:tcW w:w="334" w:type="pct"/>
                  <w:vMerge w:val="continue"/>
                  <w:noWrap w:val="0"/>
                  <w:vAlign w:val="center"/>
                </w:tcPr>
                <w:p>
                  <w:pPr>
                    <w:adjustRightInd w:val="0"/>
                    <w:snapToGrid w:val="0"/>
                    <w:jc w:val="center"/>
                    <w:rPr>
                      <w:kern w:val="0"/>
                      <w:sz w:val="18"/>
                      <w:szCs w:val="18"/>
                    </w:rPr>
                  </w:pPr>
                </w:p>
              </w:tc>
              <w:tc>
                <w:tcPr>
                  <w:tcW w:w="621" w:type="dxa"/>
                  <w:vMerge w:val="continue"/>
                  <w:noWrap w:val="0"/>
                  <w:vAlign w:val="center"/>
                </w:tcPr>
                <w:p>
                  <w:pPr>
                    <w:adjustRightInd w:val="0"/>
                    <w:snapToGrid w:val="0"/>
                    <w:jc w:val="center"/>
                    <w:rPr>
                      <w:sz w:val="18"/>
                      <w:szCs w:val="18"/>
                    </w:rPr>
                  </w:pPr>
                </w:p>
              </w:tc>
              <w:tc>
                <w:tcPr>
                  <w:tcW w:w="692" w:type="dxa"/>
                  <w:noWrap w:val="0"/>
                  <w:vAlign w:val="center"/>
                </w:tcPr>
                <w:p>
                  <w:pPr>
                    <w:adjustRightInd w:val="0"/>
                    <w:snapToGrid w:val="0"/>
                    <w:jc w:val="center"/>
                    <w:rPr>
                      <w:sz w:val="18"/>
                      <w:szCs w:val="18"/>
                    </w:rPr>
                  </w:pPr>
                  <w:r>
                    <w:rPr>
                      <w:rFonts w:hint="eastAsia"/>
                      <w:sz w:val="18"/>
                      <w:szCs w:val="18"/>
                      <w:lang w:val="en-US" w:eastAsia="zh-CN"/>
                    </w:rPr>
                    <w:t>260</w:t>
                  </w:r>
                </w:p>
              </w:tc>
              <w:tc>
                <w:tcPr>
                  <w:tcW w:w="916" w:type="dxa"/>
                  <w:noWrap w:val="0"/>
                  <w:vAlign w:val="center"/>
                </w:tcPr>
                <w:p>
                  <w:pPr>
                    <w:widowControl/>
                    <w:jc w:val="center"/>
                    <w:textAlignment w:val="center"/>
                    <w:rPr>
                      <w:sz w:val="18"/>
                      <w:szCs w:val="18"/>
                    </w:rPr>
                  </w:pPr>
                  <w:r>
                    <w:rPr>
                      <w:rFonts w:hint="eastAsia" w:eastAsia="宋体"/>
                      <w:sz w:val="18"/>
                      <w:szCs w:val="18"/>
                      <w:lang w:val="en-US" w:eastAsia="zh-CN"/>
                    </w:rPr>
                    <w:t>0.078</w:t>
                  </w:r>
                </w:p>
              </w:tc>
              <w:tc>
                <w:tcPr>
                  <w:tcW w:w="344" w:type="pct"/>
                  <w:vMerge w:val="continue"/>
                  <w:noWrap w:val="0"/>
                  <w:vAlign w:val="center"/>
                </w:tcPr>
                <w:p>
                  <w:pPr>
                    <w:adjustRightInd w:val="0"/>
                    <w:snapToGrid w:val="0"/>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vMerge w:val="continue"/>
                  <w:noWrap w:val="0"/>
                  <w:vAlign w:val="center"/>
                </w:tcPr>
                <w:p>
                  <w:pPr>
                    <w:adjustRightInd w:val="0"/>
                    <w:snapToGrid w:val="0"/>
                    <w:jc w:val="center"/>
                    <w:rPr>
                      <w:sz w:val="18"/>
                      <w:szCs w:val="18"/>
                    </w:rPr>
                  </w:pPr>
                </w:p>
              </w:tc>
              <w:tc>
                <w:tcPr>
                  <w:tcW w:w="236" w:type="pct"/>
                  <w:vMerge w:val="continue"/>
                  <w:noWrap w:val="0"/>
                  <w:vAlign w:val="center"/>
                </w:tcPr>
                <w:p>
                  <w:pPr>
                    <w:adjustRightInd w:val="0"/>
                    <w:snapToGrid w:val="0"/>
                    <w:jc w:val="center"/>
                    <w:rPr>
                      <w:sz w:val="18"/>
                      <w:szCs w:val="18"/>
                    </w:rPr>
                  </w:pPr>
                </w:p>
              </w:tc>
              <w:tc>
                <w:tcPr>
                  <w:tcW w:w="480" w:type="pct"/>
                  <w:noWrap w:val="0"/>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NH</w:t>
                  </w:r>
                  <w:r>
                    <w:rPr>
                      <w:rFonts w:ascii="Times New Roman" w:hAnsi="Times New Roman" w:eastAsia="宋体" w:cs="Times New Roman"/>
                      <w:sz w:val="18"/>
                      <w:szCs w:val="18"/>
                      <w:vertAlign w:val="subscript"/>
                    </w:rPr>
                    <w:t>3</w:t>
                  </w:r>
                  <w:r>
                    <w:rPr>
                      <w:rFonts w:ascii="Times New Roman" w:hAnsi="Times New Roman" w:eastAsia="宋体" w:cs="Times New Roman"/>
                      <w:sz w:val="18"/>
                      <w:szCs w:val="18"/>
                    </w:rPr>
                    <w:t>-N</w:t>
                  </w:r>
                </w:p>
              </w:tc>
              <w:tc>
                <w:tcPr>
                  <w:tcW w:w="236" w:type="pct"/>
                  <w:vMerge w:val="continue"/>
                  <w:noWrap w:val="0"/>
                  <w:vAlign w:val="center"/>
                </w:tcPr>
                <w:p>
                  <w:pPr>
                    <w:widowControl/>
                    <w:adjustRightInd w:val="0"/>
                    <w:snapToGrid w:val="0"/>
                    <w:jc w:val="center"/>
                    <w:rPr>
                      <w:kern w:val="0"/>
                      <w:sz w:val="18"/>
                      <w:szCs w:val="18"/>
                    </w:rPr>
                  </w:pPr>
                </w:p>
              </w:tc>
              <w:tc>
                <w:tcPr>
                  <w:tcW w:w="384" w:type="pct"/>
                  <w:vMerge w:val="continue"/>
                  <w:noWrap w:val="0"/>
                  <w:vAlign w:val="center"/>
                </w:tcPr>
                <w:p>
                  <w:pPr>
                    <w:adjustRightInd w:val="0"/>
                    <w:snapToGrid w:val="0"/>
                    <w:jc w:val="center"/>
                    <w:rPr>
                      <w:kern w:val="0"/>
                      <w:sz w:val="18"/>
                      <w:szCs w:val="18"/>
                    </w:rPr>
                  </w:pPr>
                </w:p>
              </w:tc>
              <w:tc>
                <w:tcPr>
                  <w:tcW w:w="403" w:type="pct"/>
                  <w:noWrap w:val="0"/>
                  <w:vAlign w:val="center"/>
                </w:tcPr>
                <w:p>
                  <w:pPr>
                    <w:adjustRightInd w:val="0"/>
                    <w:snapToGrid w:val="0"/>
                    <w:jc w:val="center"/>
                    <w:rPr>
                      <w:sz w:val="18"/>
                      <w:szCs w:val="18"/>
                    </w:rPr>
                  </w:pPr>
                  <w:r>
                    <w:rPr>
                      <w:sz w:val="18"/>
                      <w:szCs w:val="18"/>
                    </w:rPr>
                    <w:t>30</w:t>
                  </w:r>
                </w:p>
              </w:tc>
              <w:tc>
                <w:tcPr>
                  <w:tcW w:w="485" w:type="pct"/>
                  <w:noWrap w:val="0"/>
                  <w:vAlign w:val="center"/>
                </w:tcPr>
                <w:p>
                  <w:pPr>
                    <w:widowControl/>
                    <w:jc w:val="center"/>
                    <w:textAlignment w:val="center"/>
                    <w:rPr>
                      <w:rFonts w:hint="default" w:eastAsia="宋体"/>
                      <w:sz w:val="18"/>
                      <w:szCs w:val="18"/>
                      <w:lang w:val="en-US" w:eastAsia="zh-CN"/>
                    </w:rPr>
                  </w:pPr>
                  <w:r>
                    <w:rPr>
                      <w:rFonts w:hint="eastAsia"/>
                      <w:sz w:val="18"/>
                      <w:szCs w:val="18"/>
                      <w:lang w:val="en-US" w:eastAsia="zh-CN"/>
                    </w:rPr>
                    <w:t>0.009</w:t>
                  </w:r>
                </w:p>
              </w:tc>
              <w:tc>
                <w:tcPr>
                  <w:tcW w:w="242" w:type="pct"/>
                  <w:vMerge w:val="continue"/>
                  <w:noWrap w:val="0"/>
                  <w:vAlign w:val="center"/>
                </w:tcPr>
                <w:p>
                  <w:pPr>
                    <w:adjustRightInd w:val="0"/>
                    <w:snapToGrid w:val="0"/>
                    <w:jc w:val="center"/>
                    <w:rPr>
                      <w:sz w:val="18"/>
                      <w:szCs w:val="18"/>
                    </w:rPr>
                  </w:pPr>
                </w:p>
              </w:tc>
              <w:tc>
                <w:tcPr>
                  <w:tcW w:w="267" w:type="pct"/>
                  <w:noWrap w:val="0"/>
                  <w:vAlign w:val="center"/>
                </w:tcPr>
                <w:p>
                  <w:pPr>
                    <w:widowControl/>
                    <w:adjustRightInd w:val="0"/>
                    <w:snapToGrid w:val="0"/>
                    <w:jc w:val="center"/>
                    <w:textAlignment w:val="center"/>
                    <w:rPr>
                      <w:rFonts w:hint="eastAsia"/>
                      <w:sz w:val="18"/>
                      <w:szCs w:val="18"/>
                    </w:rPr>
                  </w:pPr>
                  <w:r>
                    <w:rPr>
                      <w:rFonts w:hint="eastAsia"/>
                      <w:sz w:val="18"/>
                      <w:szCs w:val="18"/>
                    </w:rPr>
                    <w:t>/</w:t>
                  </w:r>
                </w:p>
              </w:tc>
              <w:tc>
                <w:tcPr>
                  <w:tcW w:w="334" w:type="pct"/>
                  <w:vMerge w:val="continue"/>
                  <w:noWrap w:val="0"/>
                  <w:vAlign w:val="center"/>
                </w:tcPr>
                <w:p>
                  <w:pPr>
                    <w:adjustRightInd w:val="0"/>
                    <w:snapToGrid w:val="0"/>
                    <w:jc w:val="center"/>
                    <w:rPr>
                      <w:kern w:val="0"/>
                      <w:sz w:val="18"/>
                      <w:szCs w:val="18"/>
                    </w:rPr>
                  </w:pPr>
                </w:p>
              </w:tc>
              <w:tc>
                <w:tcPr>
                  <w:tcW w:w="621" w:type="dxa"/>
                  <w:vMerge w:val="continue"/>
                  <w:noWrap w:val="0"/>
                  <w:vAlign w:val="center"/>
                </w:tcPr>
                <w:p>
                  <w:pPr>
                    <w:adjustRightInd w:val="0"/>
                    <w:snapToGrid w:val="0"/>
                    <w:jc w:val="center"/>
                    <w:rPr>
                      <w:sz w:val="18"/>
                      <w:szCs w:val="18"/>
                    </w:rPr>
                  </w:pPr>
                </w:p>
              </w:tc>
              <w:tc>
                <w:tcPr>
                  <w:tcW w:w="692" w:type="dxa"/>
                  <w:noWrap w:val="0"/>
                  <w:vAlign w:val="center"/>
                </w:tcPr>
                <w:p>
                  <w:pPr>
                    <w:adjustRightInd w:val="0"/>
                    <w:snapToGrid w:val="0"/>
                    <w:jc w:val="center"/>
                    <w:rPr>
                      <w:sz w:val="18"/>
                      <w:szCs w:val="18"/>
                    </w:rPr>
                  </w:pPr>
                  <w:r>
                    <w:rPr>
                      <w:sz w:val="18"/>
                      <w:szCs w:val="18"/>
                    </w:rPr>
                    <w:t>30</w:t>
                  </w:r>
                </w:p>
              </w:tc>
              <w:tc>
                <w:tcPr>
                  <w:tcW w:w="916" w:type="dxa"/>
                  <w:noWrap w:val="0"/>
                  <w:vAlign w:val="center"/>
                </w:tcPr>
                <w:p>
                  <w:pPr>
                    <w:widowControl/>
                    <w:jc w:val="center"/>
                    <w:textAlignment w:val="center"/>
                    <w:rPr>
                      <w:sz w:val="18"/>
                      <w:szCs w:val="18"/>
                    </w:rPr>
                  </w:pPr>
                  <w:r>
                    <w:rPr>
                      <w:rFonts w:hint="eastAsia"/>
                      <w:sz w:val="18"/>
                      <w:szCs w:val="18"/>
                      <w:lang w:val="en-US" w:eastAsia="zh-CN"/>
                    </w:rPr>
                    <w:t>0.009</w:t>
                  </w:r>
                </w:p>
              </w:tc>
              <w:tc>
                <w:tcPr>
                  <w:tcW w:w="344" w:type="pct"/>
                  <w:vMerge w:val="continue"/>
                  <w:noWrap w:val="0"/>
                  <w:vAlign w:val="center"/>
                </w:tcPr>
                <w:p>
                  <w:pPr>
                    <w:adjustRightInd w:val="0"/>
                    <w:snapToGrid w:val="0"/>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vMerge w:val="continue"/>
                  <w:noWrap w:val="0"/>
                  <w:vAlign w:val="center"/>
                </w:tcPr>
                <w:p>
                  <w:pPr>
                    <w:adjustRightInd w:val="0"/>
                    <w:snapToGrid w:val="0"/>
                    <w:jc w:val="center"/>
                    <w:rPr>
                      <w:sz w:val="18"/>
                      <w:szCs w:val="18"/>
                    </w:rPr>
                  </w:pPr>
                </w:p>
              </w:tc>
              <w:tc>
                <w:tcPr>
                  <w:tcW w:w="236" w:type="pct"/>
                  <w:vMerge w:val="continue"/>
                  <w:noWrap w:val="0"/>
                  <w:vAlign w:val="center"/>
                </w:tcPr>
                <w:p>
                  <w:pPr>
                    <w:adjustRightInd w:val="0"/>
                    <w:snapToGrid w:val="0"/>
                    <w:jc w:val="center"/>
                    <w:rPr>
                      <w:sz w:val="18"/>
                      <w:szCs w:val="18"/>
                    </w:rPr>
                  </w:pPr>
                </w:p>
              </w:tc>
              <w:tc>
                <w:tcPr>
                  <w:tcW w:w="480" w:type="pct"/>
                  <w:noWrap w:val="0"/>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TP</w:t>
                  </w:r>
                </w:p>
              </w:tc>
              <w:tc>
                <w:tcPr>
                  <w:tcW w:w="236" w:type="pct"/>
                  <w:vMerge w:val="continue"/>
                  <w:noWrap w:val="0"/>
                  <w:vAlign w:val="center"/>
                </w:tcPr>
                <w:p>
                  <w:pPr>
                    <w:widowControl/>
                    <w:adjustRightInd w:val="0"/>
                    <w:snapToGrid w:val="0"/>
                    <w:jc w:val="center"/>
                    <w:rPr>
                      <w:kern w:val="0"/>
                      <w:sz w:val="18"/>
                      <w:szCs w:val="18"/>
                    </w:rPr>
                  </w:pPr>
                </w:p>
              </w:tc>
              <w:tc>
                <w:tcPr>
                  <w:tcW w:w="384" w:type="pct"/>
                  <w:vMerge w:val="continue"/>
                  <w:noWrap w:val="0"/>
                  <w:vAlign w:val="center"/>
                </w:tcPr>
                <w:p>
                  <w:pPr>
                    <w:adjustRightInd w:val="0"/>
                    <w:snapToGrid w:val="0"/>
                    <w:jc w:val="center"/>
                    <w:rPr>
                      <w:kern w:val="0"/>
                      <w:sz w:val="18"/>
                      <w:szCs w:val="18"/>
                    </w:rPr>
                  </w:pPr>
                </w:p>
              </w:tc>
              <w:tc>
                <w:tcPr>
                  <w:tcW w:w="403" w:type="pct"/>
                  <w:noWrap w:val="0"/>
                  <w:vAlign w:val="center"/>
                </w:tcPr>
                <w:p>
                  <w:pPr>
                    <w:adjustRightInd w:val="0"/>
                    <w:snapToGrid w:val="0"/>
                    <w:jc w:val="center"/>
                    <w:rPr>
                      <w:sz w:val="18"/>
                      <w:szCs w:val="18"/>
                    </w:rPr>
                  </w:pPr>
                  <w:r>
                    <w:rPr>
                      <w:sz w:val="18"/>
                      <w:szCs w:val="18"/>
                    </w:rPr>
                    <w:t>3</w:t>
                  </w:r>
                </w:p>
              </w:tc>
              <w:tc>
                <w:tcPr>
                  <w:tcW w:w="485" w:type="pct"/>
                  <w:noWrap w:val="0"/>
                  <w:vAlign w:val="center"/>
                </w:tcPr>
                <w:p>
                  <w:pPr>
                    <w:widowControl/>
                    <w:jc w:val="center"/>
                    <w:textAlignment w:val="center"/>
                    <w:rPr>
                      <w:rFonts w:hint="default" w:eastAsia="宋体"/>
                      <w:sz w:val="18"/>
                      <w:szCs w:val="18"/>
                      <w:lang w:val="en-US" w:eastAsia="zh-CN"/>
                    </w:rPr>
                  </w:pPr>
                  <w:r>
                    <w:rPr>
                      <w:rFonts w:hint="eastAsia"/>
                      <w:sz w:val="18"/>
                      <w:szCs w:val="18"/>
                      <w:lang w:val="en-US" w:eastAsia="zh-CN"/>
                    </w:rPr>
                    <w:t>0.0009</w:t>
                  </w:r>
                </w:p>
              </w:tc>
              <w:tc>
                <w:tcPr>
                  <w:tcW w:w="242" w:type="pct"/>
                  <w:vMerge w:val="continue"/>
                  <w:noWrap w:val="0"/>
                  <w:vAlign w:val="center"/>
                </w:tcPr>
                <w:p>
                  <w:pPr>
                    <w:adjustRightInd w:val="0"/>
                    <w:snapToGrid w:val="0"/>
                    <w:jc w:val="center"/>
                    <w:rPr>
                      <w:sz w:val="18"/>
                      <w:szCs w:val="18"/>
                    </w:rPr>
                  </w:pPr>
                </w:p>
              </w:tc>
              <w:tc>
                <w:tcPr>
                  <w:tcW w:w="267" w:type="pct"/>
                  <w:noWrap w:val="0"/>
                  <w:vAlign w:val="center"/>
                </w:tcPr>
                <w:p>
                  <w:pPr>
                    <w:widowControl/>
                    <w:adjustRightInd w:val="0"/>
                    <w:snapToGrid w:val="0"/>
                    <w:jc w:val="center"/>
                    <w:textAlignment w:val="center"/>
                    <w:rPr>
                      <w:rFonts w:hint="eastAsia"/>
                      <w:sz w:val="18"/>
                      <w:szCs w:val="18"/>
                    </w:rPr>
                  </w:pPr>
                  <w:r>
                    <w:rPr>
                      <w:rFonts w:hint="eastAsia"/>
                      <w:sz w:val="18"/>
                      <w:szCs w:val="18"/>
                    </w:rPr>
                    <w:t>/</w:t>
                  </w:r>
                </w:p>
              </w:tc>
              <w:tc>
                <w:tcPr>
                  <w:tcW w:w="334" w:type="pct"/>
                  <w:vMerge w:val="continue"/>
                  <w:noWrap w:val="0"/>
                  <w:vAlign w:val="center"/>
                </w:tcPr>
                <w:p>
                  <w:pPr>
                    <w:adjustRightInd w:val="0"/>
                    <w:snapToGrid w:val="0"/>
                    <w:jc w:val="center"/>
                    <w:rPr>
                      <w:kern w:val="0"/>
                      <w:sz w:val="18"/>
                      <w:szCs w:val="18"/>
                    </w:rPr>
                  </w:pPr>
                </w:p>
              </w:tc>
              <w:tc>
                <w:tcPr>
                  <w:tcW w:w="621" w:type="dxa"/>
                  <w:vMerge w:val="continue"/>
                  <w:noWrap w:val="0"/>
                  <w:vAlign w:val="center"/>
                </w:tcPr>
                <w:p>
                  <w:pPr>
                    <w:adjustRightInd w:val="0"/>
                    <w:snapToGrid w:val="0"/>
                    <w:jc w:val="center"/>
                    <w:rPr>
                      <w:sz w:val="18"/>
                      <w:szCs w:val="18"/>
                    </w:rPr>
                  </w:pPr>
                </w:p>
              </w:tc>
              <w:tc>
                <w:tcPr>
                  <w:tcW w:w="692" w:type="dxa"/>
                  <w:noWrap w:val="0"/>
                  <w:vAlign w:val="center"/>
                </w:tcPr>
                <w:p>
                  <w:pPr>
                    <w:adjustRightInd w:val="0"/>
                    <w:snapToGrid w:val="0"/>
                    <w:jc w:val="center"/>
                    <w:rPr>
                      <w:sz w:val="18"/>
                      <w:szCs w:val="18"/>
                    </w:rPr>
                  </w:pPr>
                  <w:r>
                    <w:rPr>
                      <w:sz w:val="18"/>
                      <w:szCs w:val="18"/>
                    </w:rPr>
                    <w:t>3</w:t>
                  </w:r>
                </w:p>
              </w:tc>
              <w:tc>
                <w:tcPr>
                  <w:tcW w:w="916" w:type="dxa"/>
                  <w:noWrap w:val="0"/>
                  <w:vAlign w:val="center"/>
                </w:tcPr>
                <w:p>
                  <w:pPr>
                    <w:widowControl/>
                    <w:jc w:val="center"/>
                    <w:textAlignment w:val="center"/>
                    <w:rPr>
                      <w:sz w:val="18"/>
                      <w:szCs w:val="18"/>
                    </w:rPr>
                  </w:pPr>
                  <w:r>
                    <w:rPr>
                      <w:rFonts w:hint="eastAsia"/>
                      <w:sz w:val="18"/>
                      <w:szCs w:val="18"/>
                      <w:lang w:val="en-US" w:eastAsia="zh-CN"/>
                    </w:rPr>
                    <w:t>0.0009</w:t>
                  </w:r>
                </w:p>
              </w:tc>
              <w:tc>
                <w:tcPr>
                  <w:tcW w:w="344" w:type="pct"/>
                  <w:vMerge w:val="continue"/>
                  <w:noWrap w:val="0"/>
                  <w:vAlign w:val="center"/>
                </w:tcPr>
                <w:p>
                  <w:pPr>
                    <w:adjustRightInd w:val="0"/>
                    <w:snapToGrid w:val="0"/>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vMerge w:val="continue"/>
                  <w:noWrap w:val="0"/>
                  <w:vAlign w:val="center"/>
                </w:tcPr>
                <w:p>
                  <w:pPr>
                    <w:adjustRightInd w:val="0"/>
                    <w:snapToGrid w:val="0"/>
                    <w:jc w:val="center"/>
                    <w:rPr>
                      <w:sz w:val="18"/>
                      <w:szCs w:val="18"/>
                    </w:rPr>
                  </w:pPr>
                </w:p>
              </w:tc>
              <w:tc>
                <w:tcPr>
                  <w:tcW w:w="236" w:type="pct"/>
                  <w:vMerge w:val="continue"/>
                  <w:noWrap w:val="0"/>
                  <w:vAlign w:val="center"/>
                </w:tcPr>
                <w:p>
                  <w:pPr>
                    <w:adjustRightInd w:val="0"/>
                    <w:snapToGrid w:val="0"/>
                    <w:jc w:val="center"/>
                    <w:rPr>
                      <w:sz w:val="18"/>
                      <w:szCs w:val="18"/>
                    </w:rPr>
                  </w:pPr>
                </w:p>
              </w:tc>
              <w:tc>
                <w:tcPr>
                  <w:tcW w:w="480" w:type="pct"/>
                  <w:noWrap w:val="0"/>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TN</w:t>
                  </w:r>
                </w:p>
              </w:tc>
              <w:tc>
                <w:tcPr>
                  <w:tcW w:w="236" w:type="pct"/>
                  <w:vMerge w:val="continue"/>
                  <w:noWrap w:val="0"/>
                  <w:vAlign w:val="center"/>
                </w:tcPr>
                <w:p>
                  <w:pPr>
                    <w:widowControl/>
                    <w:adjustRightInd w:val="0"/>
                    <w:snapToGrid w:val="0"/>
                    <w:jc w:val="center"/>
                    <w:rPr>
                      <w:kern w:val="0"/>
                      <w:sz w:val="18"/>
                      <w:szCs w:val="18"/>
                    </w:rPr>
                  </w:pPr>
                </w:p>
              </w:tc>
              <w:tc>
                <w:tcPr>
                  <w:tcW w:w="384" w:type="pct"/>
                  <w:vMerge w:val="continue"/>
                  <w:noWrap w:val="0"/>
                  <w:vAlign w:val="center"/>
                </w:tcPr>
                <w:p>
                  <w:pPr>
                    <w:adjustRightInd w:val="0"/>
                    <w:snapToGrid w:val="0"/>
                    <w:jc w:val="center"/>
                    <w:rPr>
                      <w:kern w:val="0"/>
                      <w:sz w:val="18"/>
                      <w:szCs w:val="18"/>
                    </w:rPr>
                  </w:pPr>
                </w:p>
              </w:tc>
              <w:tc>
                <w:tcPr>
                  <w:tcW w:w="403" w:type="pct"/>
                  <w:noWrap w:val="0"/>
                  <w:vAlign w:val="center"/>
                </w:tcPr>
                <w:p>
                  <w:pPr>
                    <w:adjustRightInd w:val="0"/>
                    <w:snapToGrid w:val="0"/>
                    <w:jc w:val="center"/>
                    <w:rPr>
                      <w:sz w:val="18"/>
                      <w:szCs w:val="18"/>
                    </w:rPr>
                  </w:pPr>
                  <w:r>
                    <w:rPr>
                      <w:sz w:val="18"/>
                      <w:szCs w:val="18"/>
                    </w:rPr>
                    <w:t>50</w:t>
                  </w:r>
                </w:p>
              </w:tc>
              <w:tc>
                <w:tcPr>
                  <w:tcW w:w="485" w:type="pct"/>
                  <w:noWrap w:val="0"/>
                  <w:vAlign w:val="center"/>
                </w:tcPr>
                <w:p>
                  <w:pPr>
                    <w:widowControl/>
                    <w:jc w:val="center"/>
                    <w:textAlignment w:val="center"/>
                    <w:rPr>
                      <w:rFonts w:hint="default" w:eastAsia="宋体"/>
                      <w:sz w:val="18"/>
                      <w:szCs w:val="18"/>
                      <w:lang w:val="en-US" w:eastAsia="zh-CN"/>
                    </w:rPr>
                  </w:pPr>
                  <w:r>
                    <w:rPr>
                      <w:rFonts w:hint="eastAsia"/>
                      <w:sz w:val="18"/>
                      <w:szCs w:val="18"/>
                    </w:rPr>
                    <w:t>0.0</w:t>
                  </w:r>
                  <w:r>
                    <w:rPr>
                      <w:rFonts w:hint="eastAsia"/>
                      <w:sz w:val="18"/>
                      <w:szCs w:val="18"/>
                      <w:lang w:val="en-US" w:eastAsia="zh-CN"/>
                    </w:rPr>
                    <w:t>15</w:t>
                  </w:r>
                </w:p>
              </w:tc>
              <w:tc>
                <w:tcPr>
                  <w:tcW w:w="242" w:type="pct"/>
                  <w:vMerge w:val="continue"/>
                  <w:noWrap w:val="0"/>
                  <w:vAlign w:val="center"/>
                </w:tcPr>
                <w:p>
                  <w:pPr>
                    <w:adjustRightInd w:val="0"/>
                    <w:snapToGrid w:val="0"/>
                    <w:jc w:val="center"/>
                    <w:rPr>
                      <w:sz w:val="18"/>
                      <w:szCs w:val="18"/>
                    </w:rPr>
                  </w:pPr>
                </w:p>
              </w:tc>
              <w:tc>
                <w:tcPr>
                  <w:tcW w:w="267" w:type="pct"/>
                  <w:noWrap w:val="0"/>
                  <w:vAlign w:val="center"/>
                </w:tcPr>
                <w:p>
                  <w:pPr>
                    <w:widowControl/>
                    <w:adjustRightInd w:val="0"/>
                    <w:snapToGrid w:val="0"/>
                    <w:jc w:val="center"/>
                    <w:textAlignment w:val="center"/>
                    <w:rPr>
                      <w:rFonts w:hint="eastAsia"/>
                      <w:sz w:val="18"/>
                      <w:szCs w:val="18"/>
                    </w:rPr>
                  </w:pPr>
                  <w:r>
                    <w:rPr>
                      <w:rFonts w:hint="eastAsia"/>
                      <w:sz w:val="18"/>
                      <w:szCs w:val="18"/>
                    </w:rPr>
                    <w:t>/</w:t>
                  </w:r>
                </w:p>
              </w:tc>
              <w:tc>
                <w:tcPr>
                  <w:tcW w:w="334" w:type="pct"/>
                  <w:vMerge w:val="continue"/>
                  <w:noWrap w:val="0"/>
                  <w:vAlign w:val="center"/>
                </w:tcPr>
                <w:p>
                  <w:pPr>
                    <w:adjustRightInd w:val="0"/>
                    <w:snapToGrid w:val="0"/>
                    <w:jc w:val="center"/>
                    <w:rPr>
                      <w:kern w:val="0"/>
                      <w:sz w:val="18"/>
                      <w:szCs w:val="18"/>
                    </w:rPr>
                  </w:pPr>
                </w:p>
              </w:tc>
              <w:tc>
                <w:tcPr>
                  <w:tcW w:w="621" w:type="dxa"/>
                  <w:vMerge w:val="continue"/>
                  <w:noWrap w:val="0"/>
                  <w:vAlign w:val="center"/>
                </w:tcPr>
                <w:p>
                  <w:pPr>
                    <w:adjustRightInd w:val="0"/>
                    <w:snapToGrid w:val="0"/>
                    <w:jc w:val="center"/>
                    <w:rPr>
                      <w:sz w:val="18"/>
                      <w:szCs w:val="18"/>
                    </w:rPr>
                  </w:pPr>
                </w:p>
              </w:tc>
              <w:tc>
                <w:tcPr>
                  <w:tcW w:w="692" w:type="dxa"/>
                  <w:noWrap w:val="0"/>
                  <w:vAlign w:val="center"/>
                </w:tcPr>
                <w:p>
                  <w:pPr>
                    <w:adjustRightInd w:val="0"/>
                    <w:snapToGrid w:val="0"/>
                    <w:jc w:val="center"/>
                    <w:rPr>
                      <w:sz w:val="18"/>
                      <w:szCs w:val="18"/>
                    </w:rPr>
                  </w:pPr>
                  <w:r>
                    <w:rPr>
                      <w:sz w:val="18"/>
                      <w:szCs w:val="18"/>
                    </w:rPr>
                    <w:t>50</w:t>
                  </w:r>
                </w:p>
              </w:tc>
              <w:tc>
                <w:tcPr>
                  <w:tcW w:w="916" w:type="dxa"/>
                  <w:noWrap w:val="0"/>
                  <w:vAlign w:val="center"/>
                </w:tcPr>
                <w:p>
                  <w:pPr>
                    <w:widowControl/>
                    <w:jc w:val="center"/>
                    <w:textAlignment w:val="center"/>
                    <w:rPr>
                      <w:sz w:val="18"/>
                      <w:szCs w:val="18"/>
                    </w:rPr>
                  </w:pPr>
                  <w:r>
                    <w:rPr>
                      <w:rFonts w:hint="eastAsia"/>
                      <w:sz w:val="18"/>
                      <w:szCs w:val="18"/>
                    </w:rPr>
                    <w:t>0.0</w:t>
                  </w:r>
                  <w:r>
                    <w:rPr>
                      <w:rFonts w:hint="eastAsia"/>
                      <w:sz w:val="18"/>
                      <w:szCs w:val="18"/>
                      <w:lang w:val="en-US" w:eastAsia="zh-CN"/>
                    </w:rPr>
                    <w:t>15</w:t>
                  </w:r>
                </w:p>
              </w:tc>
              <w:tc>
                <w:tcPr>
                  <w:tcW w:w="344" w:type="pct"/>
                  <w:vMerge w:val="continue"/>
                  <w:noWrap w:val="0"/>
                  <w:vAlign w:val="center"/>
                </w:tcPr>
                <w:p>
                  <w:pPr>
                    <w:adjustRightInd w:val="0"/>
                    <w:snapToGrid w:val="0"/>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6" w:type="pct"/>
                  <w:vMerge w:val="restart"/>
                  <w:noWrap w:val="0"/>
                  <w:vAlign w:val="center"/>
                </w:tcPr>
                <w:p>
                  <w:pPr>
                    <w:adjustRightInd w:val="0"/>
                    <w:snapToGrid w:val="0"/>
                    <w:jc w:val="center"/>
                    <w:rPr>
                      <w:rFonts w:hint="eastAsia" w:eastAsia="宋体"/>
                      <w:sz w:val="18"/>
                      <w:szCs w:val="18"/>
                      <w:lang w:val="en-US" w:eastAsia="zh-CN"/>
                    </w:rPr>
                  </w:pPr>
                  <w:r>
                    <w:rPr>
                      <w:rFonts w:hint="eastAsia"/>
                      <w:sz w:val="18"/>
                      <w:szCs w:val="18"/>
                      <w:lang w:val="en-US" w:eastAsia="zh-CN"/>
                    </w:rPr>
                    <w:t>清洗</w:t>
                  </w:r>
                </w:p>
              </w:tc>
              <w:tc>
                <w:tcPr>
                  <w:tcW w:w="236" w:type="pct"/>
                  <w:vMerge w:val="restart"/>
                  <w:noWrap w:val="0"/>
                  <w:vAlign w:val="center"/>
                </w:tcPr>
                <w:p>
                  <w:pPr>
                    <w:adjustRightInd w:val="0"/>
                    <w:snapToGrid w:val="0"/>
                    <w:jc w:val="center"/>
                    <w:rPr>
                      <w:sz w:val="18"/>
                      <w:szCs w:val="18"/>
                    </w:rPr>
                  </w:pPr>
                  <w:r>
                    <w:rPr>
                      <w:rFonts w:hint="eastAsia"/>
                      <w:sz w:val="18"/>
                      <w:szCs w:val="18"/>
                      <w:lang w:val="en-US" w:eastAsia="zh-CN"/>
                    </w:rPr>
                    <w:t>清洗废水</w:t>
                  </w:r>
                </w:p>
              </w:tc>
              <w:tc>
                <w:tcPr>
                  <w:tcW w:w="480" w:type="pct"/>
                  <w:noWrap w:val="0"/>
                  <w:vAlign w:val="center"/>
                </w:tcPr>
                <w:p>
                  <w:pPr>
                    <w:adjustRightInd w:val="0"/>
                    <w:snapToGrid w:val="0"/>
                    <w:jc w:val="center"/>
                    <w:rPr>
                      <w:sz w:val="18"/>
                      <w:szCs w:val="18"/>
                    </w:rPr>
                  </w:pPr>
                  <w:r>
                    <w:rPr>
                      <w:sz w:val="18"/>
                      <w:szCs w:val="18"/>
                    </w:rPr>
                    <w:t>COD</w:t>
                  </w:r>
                </w:p>
              </w:tc>
              <w:tc>
                <w:tcPr>
                  <w:tcW w:w="236" w:type="pct"/>
                  <w:vMerge w:val="restart"/>
                  <w:noWrap w:val="0"/>
                  <w:vAlign w:val="center"/>
                </w:tcPr>
                <w:p>
                  <w:pPr>
                    <w:widowControl/>
                    <w:adjustRightInd w:val="0"/>
                    <w:snapToGrid w:val="0"/>
                    <w:jc w:val="center"/>
                    <w:rPr>
                      <w:kern w:val="0"/>
                      <w:sz w:val="18"/>
                      <w:szCs w:val="18"/>
                    </w:rPr>
                  </w:pPr>
                  <w:r>
                    <w:rPr>
                      <w:kern w:val="0"/>
                      <w:sz w:val="18"/>
                      <w:szCs w:val="18"/>
                    </w:rPr>
                    <w:t>产污系数法</w:t>
                  </w:r>
                </w:p>
              </w:tc>
              <w:tc>
                <w:tcPr>
                  <w:tcW w:w="384" w:type="pct"/>
                  <w:vMerge w:val="restart"/>
                  <w:noWrap w:val="0"/>
                  <w:vAlign w:val="center"/>
                </w:tcPr>
                <w:p>
                  <w:pPr>
                    <w:adjustRightInd w:val="0"/>
                    <w:snapToGrid w:val="0"/>
                    <w:jc w:val="center"/>
                    <w:rPr>
                      <w:rFonts w:hint="default" w:eastAsia="宋体"/>
                      <w:kern w:val="0"/>
                      <w:sz w:val="18"/>
                      <w:szCs w:val="18"/>
                      <w:lang w:val="en-US" w:eastAsia="zh-CN"/>
                    </w:rPr>
                  </w:pPr>
                  <w:r>
                    <w:rPr>
                      <w:rFonts w:hint="eastAsia"/>
                      <w:kern w:val="0"/>
                      <w:sz w:val="18"/>
                      <w:szCs w:val="18"/>
                      <w:lang w:val="en-US" w:eastAsia="zh-CN"/>
                    </w:rPr>
                    <w:t>54.9</w:t>
                  </w:r>
                </w:p>
              </w:tc>
              <w:tc>
                <w:tcPr>
                  <w:tcW w:w="403" w:type="pct"/>
                  <w:noWrap w:val="0"/>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80</w:t>
                  </w:r>
                </w:p>
              </w:tc>
              <w:tc>
                <w:tcPr>
                  <w:tcW w:w="485" w:type="pct"/>
                  <w:noWrap w:val="0"/>
                  <w:vAlign w:val="center"/>
                </w:tcPr>
                <w:p>
                  <w:pPr>
                    <w:widowControl/>
                    <w:jc w:val="center"/>
                    <w:textAlignment w:val="center"/>
                    <w:rPr>
                      <w:rFonts w:hint="default" w:eastAsia="宋体"/>
                      <w:sz w:val="18"/>
                      <w:szCs w:val="18"/>
                      <w:lang w:val="en-US" w:eastAsia="zh-CN"/>
                    </w:rPr>
                  </w:pPr>
                  <w:r>
                    <w:rPr>
                      <w:rFonts w:hint="eastAsia"/>
                      <w:sz w:val="18"/>
                      <w:szCs w:val="18"/>
                      <w:lang w:val="en-US" w:eastAsia="zh-CN"/>
                    </w:rPr>
                    <w:t>0.0044</w:t>
                  </w:r>
                </w:p>
              </w:tc>
              <w:tc>
                <w:tcPr>
                  <w:tcW w:w="242" w:type="pct"/>
                  <w:vMerge w:val="restart"/>
                  <w:noWrap w:val="0"/>
                  <w:vAlign w:val="center"/>
                </w:tcPr>
                <w:p>
                  <w:pPr>
                    <w:adjustRightInd w:val="0"/>
                    <w:snapToGrid w:val="0"/>
                    <w:jc w:val="center"/>
                    <w:rPr>
                      <w:rFonts w:hint="eastAsia" w:eastAsia="宋体"/>
                      <w:sz w:val="18"/>
                      <w:szCs w:val="18"/>
                      <w:lang w:val="en-US" w:eastAsia="zh-CN"/>
                    </w:rPr>
                  </w:pPr>
                  <w:r>
                    <w:rPr>
                      <w:rFonts w:hint="eastAsia"/>
                      <w:sz w:val="18"/>
                      <w:szCs w:val="18"/>
                      <w:lang w:val="en-US" w:eastAsia="zh-CN"/>
                    </w:rPr>
                    <w:t>/</w:t>
                  </w:r>
                </w:p>
              </w:tc>
              <w:tc>
                <w:tcPr>
                  <w:tcW w:w="267" w:type="pct"/>
                  <w:noWrap w:val="0"/>
                  <w:vAlign w:val="center"/>
                </w:tcPr>
                <w:p>
                  <w:pPr>
                    <w:widowControl/>
                    <w:adjustRightInd w:val="0"/>
                    <w:snapToGrid w:val="0"/>
                    <w:jc w:val="center"/>
                    <w:textAlignment w:val="center"/>
                    <w:rPr>
                      <w:rFonts w:hint="eastAsia"/>
                      <w:sz w:val="18"/>
                      <w:szCs w:val="18"/>
                    </w:rPr>
                  </w:pPr>
                  <w:r>
                    <w:rPr>
                      <w:rFonts w:hint="eastAsia"/>
                      <w:sz w:val="18"/>
                      <w:szCs w:val="18"/>
                    </w:rPr>
                    <w:t>/</w:t>
                  </w:r>
                </w:p>
              </w:tc>
              <w:tc>
                <w:tcPr>
                  <w:tcW w:w="334" w:type="pct"/>
                  <w:vMerge w:val="restart"/>
                  <w:noWrap w:val="0"/>
                  <w:vAlign w:val="center"/>
                </w:tcPr>
                <w:p>
                  <w:pPr>
                    <w:adjustRightInd w:val="0"/>
                    <w:snapToGrid w:val="0"/>
                    <w:jc w:val="center"/>
                    <w:rPr>
                      <w:kern w:val="0"/>
                      <w:sz w:val="18"/>
                      <w:szCs w:val="18"/>
                    </w:rPr>
                  </w:pPr>
                  <w:r>
                    <w:rPr>
                      <w:kern w:val="0"/>
                      <w:sz w:val="18"/>
                      <w:szCs w:val="18"/>
                    </w:rPr>
                    <w:t>产污系数法</w:t>
                  </w:r>
                </w:p>
              </w:tc>
              <w:tc>
                <w:tcPr>
                  <w:tcW w:w="621" w:type="dxa"/>
                  <w:vMerge w:val="restart"/>
                  <w:noWrap w:val="0"/>
                  <w:vAlign w:val="center"/>
                </w:tcPr>
                <w:p>
                  <w:pPr>
                    <w:adjustRightInd w:val="0"/>
                    <w:snapToGrid w:val="0"/>
                    <w:jc w:val="center"/>
                    <w:rPr>
                      <w:rFonts w:hint="default" w:eastAsia="宋体"/>
                      <w:sz w:val="18"/>
                      <w:szCs w:val="18"/>
                      <w:lang w:val="en-US" w:eastAsia="zh-CN"/>
                    </w:rPr>
                  </w:pPr>
                  <w:r>
                    <w:rPr>
                      <w:rFonts w:hint="eastAsia"/>
                      <w:kern w:val="0"/>
                      <w:sz w:val="18"/>
                      <w:szCs w:val="18"/>
                      <w:lang w:val="en-US" w:eastAsia="zh-CN"/>
                    </w:rPr>
                    <w:t>54.9</w:t>
                  </w:r>
                </w:p>
              </w:tc>
              <w:tc>
                <w:tcPr>
                  <w:tcW w:w="692" w:type="dxa"/>
                  <w:noWrap w:val="0"/>
                  <w:vAlign w:val="center"/>
                </w:tcPr>
                <w:p>
                  <w:pPr>
                    <w:adjustRightInd w:val="0"/>
                    <w:snapToGrid w:val="0"/>
                    <w:jc w:val="center"/>
                    <w:rPr>
                      <w:sz w:val="18"/>
                      <w:szCs w:val="18"/>
                    </w:rPr>
                  </w:pPr>
                  <w:r>
                    <w:rPr>
                      <w:rFonts w:hint="eastAsia"/>
                      <w:sz w:val="18"/>
                      <w:szCs w:val="18"/>
                      <w:lang w:val="en-US" w:eastAsia="zh-CN"/>
                    </w:rPr>
                    <w:t>80</w:t>
                  </w:r>
                </w:p>
              </w:tc>
              <w:tc>
                <w:tcPr>
                  <w:tcW w:w="916" w:type="dxa"/>
                  <w:noWrap w:val="0"/>
                  <w:vAlign w:val="center"/>
                </w:tcPr>
                <w:p>
                  <w:pPr>
                    <w:widowControl/>
                    <w:jc w:val="center"/>
                    <w:textAlignment w:val="center"/>
                    <w:rPr>
                      <w:rFonts w:hint="eastAsia"/>
                      <w:sz w:val="18"/>
                      <w:szCs w:val="18"/>
                    </w:rPr>
                  </w:pPr>
                  <w:r>
                    <w:rPr>
                      <w:rFonts w:hint="eastAsia"/>
                      <w:sz w:val="18"/>
                      <w:szCs w:val="18"/>
                      <w:lang w:val="en-US" w:eastAsia="zh-CN"/>
                    </w:rPr>
                    <w:t>0.0044</w:t>
                  </w:r>
                </w:p>
              </w:tc>
              <w:tc>
                <w:tcPr>
                  <w:tcW w:w="344" w:type="pct"/>
                  <w:vMerge w:val="restart"/>
                  <w:noWrap w:val="0"/>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6" w:type="pct"/>
                  <w:vMerge w:val="continue"/>
                  <w:noWrap w:val="0"/>
                  <w:vAlign w:val="center"/>
                </w:tcPr>
                <w:p>
                  <w:pPr>
                    <w:adjustRightInd w:val="0"/>
                    <w:snapToGrid w:val="0"/>
                    <w:jc w:val="center"/>
                  </w:pPr>
                </w:p>
              </w:tc>
              <w:tc>
                <w:tcPr>
                  <w:tcW w:w="236" w:type="pct"/>
                  <w:vMerge w:val="continue"/>
                  <w:noWrap w:val="0"/>
                  <w:vAlign w:val="center"/>
                </w:tcPr>
                <w:p>
                  <w:pPr>
                    <w:adjustRightInd w:val="0"/>
                    <w:snapToGrid w:val="0"/>
                    <w:jc w:val="center"/>
                  </w:pPr>
                </w:p>
              </w:tc>
              <w:tc>
                <w:tcPr>
                  <w:tcW w:w="480" w:type="pct"/>
                  <w:noWrap w:val="0"/>
                  <w:vAlign w:val="center"/>
                </w:tcPr>
                <w:p>
                  <w:pPr>
                    <w:adjustRightInd w:val="0"/>
                    <w:snapToGrid w:val="0"/>
                    <w:jc w:val="center"/>
                    <w:rPr>
                      <w:sz w:val="18"/>
                      <w:szCs w:val="18"/>
                    </w:rPr>
                  </w:pPr>
                  <w:r>
                    <w:rPr>
                      <w:sz w:val="18"/>
                      <w:szCs w:val="18"/>
                    </w:rPr>
                    <w:t>SS</w:t>
                  </w:r>
                </w:p>
              </w:tc>
              <w:tc>
                <w:tcPr>
                  <w:tcW w:w="236" w:type="pct"/>
                  <w:vMerge w:val="continue"/>
                  <w:noWrap w:val="0"/>
                  <w:vAlign w:val="center"/>
                </w:tcPr>
                <w:p>
                  <w:pPr>
                    <w:adjustRightInd w:val="0"/>
                    <w:snapToGrid w:val="0"/>
                    <w:jc w:val="center"/>
                    <w:rPr>
                      <w:sz w:val="18"/>
                      <w:szCs w:val="18"/>
                    </w:rPr>
                  </w:pPr>
                </w:p>
              </w:tc>
              <w:tc>
                <w:tcPr>
                  <w:tcW w:w="384" w:type="pct"/>
                  <w:vMerge w:val="continue"/>
                  <w:noWrap w:val="0"/>
                  <w:vAlign w:val="center"/>
                </w:tcPr>
                <w:p>
                  <w:pPr>
                    <w:adjustRightInd w:val="0"/>
                    <w:snapToGrid w:val="0"/>
                    <w:jc w:val="center"/>
                    <w:rPr>
                      <w:sz w:val="18"/>
                      <w:szCs w:val="18"/>
                    </w:rPr>
                  </w:pPr>
                </w:p>
              </w:tc>
              <w:tc>
                <w:tcPr>
                  <w:tcW w:w="403" w:type="pct"/>
                  <w:noWrap w:val="0"/>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220</w:t>
                  </w:r>
                </w:p>
              </w:tc>
              <w:tc>
                <w:tcPr>
                  <w:tcW w:w="485" w:type="pct"/>
                  <w:noWrap w:val="0"/>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0.0121</w:t>
                  </w:r>
                </w:p>
              </w:tc>
              <w:tc>
                <w:tcPr>
                  <w:tcW w:w="242" w:type="pct"/>
                  <w:vMerge w:val="continue"/>
                  <w:noWrap w:val="0"/>
                  <w:vAlign w:val="center"/>
                </w:tcPr>
                <w:p>
                  <w:pPr>
                    <w:adjustRightInd w:val="0"/>
                    <w:snapToGrid w:val="0"/>
                    <w:jc w:val="center"/>
                    <w:rPr>
                      <w:sz w:val="18"/>
                      <w:szCs w:val="18"/>
                    </w:rPr>
                  </w:pPr>
                </w:p>
              </w:tc>
              <w:tc>
                <w:tcPr>
                  <w:tcW w:w="267" w:type="pct"/>
                  <w:noWrap w:val="0"/>
                  <w:vAlign w:val="center"/>
                </w:tcPr>
                <w:p>
                  <w:pPr>
                    <w:widowControl/>
                    <w:adjustRightInd w:val="0"/>
                    <w:snapToGrid w:val="0"/>
                    <w:jc w:val="center"/>
                    <w:textAlignment w:val="center"/>
                    <w:rPr>
                      <w:sz w:val="18"/>
                      <w:szCs w:val="18"/>
                    </w:rPr>
                  </w:pPr>
                  <w:r>
                    <w:rPr>
                      <w:rFonts w:hint="eastAsia"/>
                      <w:sz w:val="18"/>
                      <w:szCs w:val="18"/>
                    </w:rPr>
                    <w:t>/</w:t>
                  </w:r>
                </w:p>
              </w:tc>
              <w:tc>
                <w:tcPr>
                  <w:tcW w:w="334" w:type="pct"/>
                  <w:vMerge w:val="continue"/>
                  <w:noWrap w:val="0"/>
                  <w:vAlign w:val="center"/>
                </w:tcPr>
                <w:p>
                  <w:pPr>
                    <w:adjustRightInd w:val="0"/>
                    <w:snapToGrid w:val="0"/>
                    <w:jc w:val="center"/>
                    <w:rPr>
                      <w:sz w:val="18"/>
                      <w:szCs w:val="18"/>
                    </w:rPr>
                  </w:pPr>
                </w:p>
              </w:tc>
              <w:tc>
                <w:tcPr>
                  <w:tcW w:w="621" w:type="dxa"/>
                  <w:vMerge w:val="continue"/>
                  <w:noWrap w:val="0"/>
                  <w:vAlign w:val="center"/>
                </w:tcPr>
                <w:p>
                  <w:pPr>
                    <w:adjustRightInd w:val="0"/>
                    <w:snapToGrid w:val="0"/>
                    <w:jc w:val="center"/>
                    <w:rPr>
                      <w:sz w:val="18"/>
                      <w:szCs w:val="18"/>
                    </w:rPr>
                  </w:pPr>
                </w:p>
              </w:tc>
              <w:tc>
                <w:tcPr>
                  <w:tcW w:w="692" w:type="dxa"/>
                  <w:noWrap w:val="0"/>
                  <w:vAlign w:val="center"/>
                </w:tcPr>
                <w:p>
                  <w:pPr>
                    <w:adjustRightInd w:val="0"/>
                    <w:snapToGrid w:val="0"/>
                    <w:jc w:val="center"/>
                    <w:rPr>
                      <w:rFonts w:hint="default"/>
                      <w:sz w:val="18"/>
                      <w:szCs w:val="18"/>
                      <w:lang w:val="en-US"/>
                    </w:rPr>
                  </w:pPr>
                  <w:r>
                    <w:rPr>
                      <w:rFonts w:hint="eastAsia"/>
                      <w:sz w:val="18"/>
                      <w:szCs w:val="18"/>
                      <w:lang w:val="en-US" w:eastAsia="zh-CN"/>
                    </w:rPr>
                    <w:t>220</w:t>
                  </w:r>
                </w:p>
              </w:tc>
              <w:tc>
                <w:tcPr>
                  <w:tcW w:w="916" w:type="dxa"/>
                  <w:noWrap w:val="0"/>
                  <w:vAlign w:val="center"/>
                </w:tcPr>
                <w:p>
                  <w:pPr>
                    <w:adjustRightInd w:val="0"/>
                    <w:snapToGrid w:val="0"/>
                    <w:jc w:val="center"/>
                    <w:rPr>
                      <w:sz w:val="18"/>
                      <w:szCs w:val="18"/>
                    </w:rPr>
                  </w:pPr>
                  <w:r>
                    <w:rPr>
                      <w:rFonts w:hint="eastAsia"/>
                      <w:sz w:val="18"/>
                      <w:szCs w:val="18"/>
                      <w:lang w:val="en-US" w:eastAsia="zh-CN"/>
                    </w:rPr>
                    <w:t>0.0121</w:t>
                  </w:r>
                </w:p>
              </w:tc>
              <w:tc>
                <w:tcPr>
                  <w:tcW w:w="344" w:type="pct"/>
                  <w:vMerge w:val="continue"/>
                  <w:noWrap w:val="0"/>
                  <w:vAlign w:val="center"/>
                </w:tcPr>
                <w:p>
                  <w:pPr>
                    <w:adjustRightInd w:val="0"/>
                    <w:snapToGrid w:val="0"/>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36" w:type="pct"/>
                  <w:vMerge w:val="restart"/>
                  <w:noWrap w:val="0"/>
                  <w:vAlign w:val="center"/>
                </w:tcPr>
                <w:p>
                  <w:pPr>
                    <w:adjustRightInd w:val="0"/>
                    <w:snapToGrid w:val="0"/>
                    <w:jc w:val="center"/>
                    <w:rPr>
                      <w:sz w:val="18"/>
                      <w:szCs w:val="18"/>
                    </w:rPr>
                  </w:pPr>
                  <w:r>
                    <w:rPr>
                      <w:rFonts w:hint="eastAsia"/>
                      <w:sz w:val="18"/>
                      <w:szCs w:val="18"/>
                      <w:lang w:val="en-US" w:eastAsia="zh-CN"/>
                    </w:rPr>
                    <w:t>纯水制备</w:t>
                  </w:r>
                </w:p>
              </w:tc>
              <w:tc>
                <w:tcPr>
                  <w:tcW w:w="236" w:type="pct"/>
                  <w:vMerge w:val="restart"/>
                  <w:noWrap w:val="0"/>
                  <w:vAlign w:val="center"/>
                </w:tcPr>
                <w:p>
                  <w:pPr>
                    <w:adjustRightInd w:val="0"/>
                    <w:snapToGrid w:val="0"/>
                    <w:jc w:val="center"/>
                    <w:rPr>
                      <w:sz w:val="18"/>
                      <w:szCs w:val="18"/>
                    </w:rPr>
                  </w:pPr>
                  <w:r>
                    <w:rPr>
                      <w:rFonts w:hint="eastAsia"/>
                      <w:sz w:val="18"/>
                      <w:szCs w:val="18"/>
                      <w:lang w:val="en-US" w:eastAsia="zh-CN"/>
                    </w:rPr>
                    <w:t>反渗透浓水</w:t>
                  </w:r>
                </w:p>
              </w:tc>
              <w:tc>
                <w:tcPr>
                  <w:tcW w:w="480" w:type="pct"/>
                  <w:noWrap w:val="0"/>
                  <w:vAlign w:val="center"/>
                </w:tcPr>
                <w:p>
                  <w:pPr>
                    <w:adjustRightInd w:val="0"/>
                    <w:snapToGrid w:val="0"/>
                    <w:jc w:val="center"/>
                    <w:rPr>
                      <w:sz w:val="18"/>
                      <w:szCs w:val="18"/>
                    </w:rPr>
                  </w:pPr>
                  <w:r>
                    <w:rPr>
                      <w:sz w:val="18"/>
                      <w:szCs w:val="18"/>
                    </w:rPr>
                    <w:t>COD</w:t>
                  </w:r>
                </w:p>
              </w:tc>
              <w:tc>
                <w:tcPr>
                  <w:tcW w:w="236" w:type="pct"/>
                  <w:vMerge w:val="restart"/>
                  <w:noWrap w:val="0"/>
                  <w:vAlign w:val="center"/>
                </w:tcPr>
                <w:p>
                  <w:pPr>
                    <w:adjustRightInd w:val="0"/>
                    <w:snapToGrid w:val="0"/>
                    <w:jc w:val="center"/>
                    <w:rPr>
                      <w:sz w:val="18"/>
                      <w:szCs w:val="18"/>
                    </w:rPr>
                  </w:pPr>
                  <w:r>
                    <w:rPr>
                      <w:kern w:val="0"/>
                      <w:sz w:val="18"/>
                      <w:szCs w:val="18"/>
                    </w:rPr>
                    <w:t>产污系数法</w:t>
                  </w:r>
                </w:p>
              </w:tc>
              <w:tc>
                <w:tcPr>
                  <w:tcW w:w="384" w:type="pct"/>
                  <w:vMerge w:val="restart"/>
                  <w:noWrap w:val="0"/>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27</w:t>
                  </w:r>
                </w:p>
              </w:tc>
              <w:tc>
                <w:tcPr>
                  <w:tcW w:w="403" w:type="pct"/>
                  <w:noWrap w:val="0"/>
                  <w:vAlign w:val="center"/>
                </w:tcPr>
                <w:p>
                  <w:pPr>
                    <w:adjustRightInd w:val="0"/>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50</w:t>
                  </w:r>
                </w:p>
              </w:tc>
              <w:tc>
                <w:tcPr>
                  <w:tcW w:w="485" w:type="pct"/>
                  <w:noWrap w:val="0"/>
                  <w:vAlign w:val="center"/>
                </w:tcPr>
                <w:p>
                  <w:pPr>
                    <w:adjustRightInd w:val="0"/>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0.0014</w:t>
                  </w:r>
                </w:p>
              </w:tc>
              <w:tc>
                <w:tcPr>
                  <w:tcW w:w="242" w:type="pct"/>
                  <w:vMerge w:val="restart"/>
                  <w:noWrap w:val="0"/>
                  <w:vAlign w:val="center"/>
                </w:tcPr>
                <w:p>
                  <w:pPr>
                    <w:adjustRightInd w:val="0"/>
                    <w:snapToGrid w:val="0"/>
                    <w:jc w:val="center"/>
                    <w:rPr>
                      <w:sz w:val="18"/>
                      <w:szCs w:val="18"/>
                    </w:rPr>
                  </w:pPr>
                </w:p>
              </w:tc>
              <w:tc>
                <w:tcPr>
                  <w:tcW w:w="267" w:type="pct"/>
                  <w:noWrap w:val="0"/>
                  <w:vAlign w:val="center"/>
                </w:tcPr>
                <w:p>
                  <w:pPr>
                    <w:widowControl/>
                    <w:adjustRightInd w:val="0"/>
                    <w:snapToGrid w:val="0"/>
                    <w:jc w:val="center"/>
                    <w:textAlignment w:val="center"/>
                    <w:rPr>
                      <w:rFonts w:hint="eastAsia"/>
                      <w:sz w:val="18"/>
                      <w:szCs w:val="18"/>
                    </w:rPr>
                  </w:pPr>
                  <w:r>
                    <w:rPr>
                      <w:rFonts w:hint="eastAsia"/>
                      <w:sz w:val="18"/>
                      <w:szCs w:val="18"/>
                    </w:rPr>
                    <w:t>/</w:t>
                  </w:r>
                </w:p>
              </w:tc>
              <w:tc>
                <w:tcPr>
                  <w:tcW w:w="334" w:type="pct"/>
                  <w:vMerge w:val="restart"/>
                  <w:noWrap w:val="0"/>
                  <w:vAlign w:val="center"/>
                </w:tcPr>
                <w:p>
                  <w:pPr>
                    <w:adjustRightInd w:val="0"/>
                    <w:snapToGrid w:val="0"/>
                    <w:jc w:val="center"/>
                    <w:rPr>
                      <w:sz w:val="18"/>
                      <w:szCs w:val="18"/>
                    </w:rPr>
                  </w:pPr>
                  <w:r>
                    <w:rPr>
                      <w:kern w:val="0"/>
                      <w:sz w:val="18"/>
                      <w:szCs w:val="18"/>
                    </w:rPr>
                    <w:t>产污系数法</w:t>
                  </w:r>
                </w:p>
              </w:tc>
              <w:tc>
                <w:tcPr>
                  <w:tcW w:w="621" w:type="dxa"/>
                  <w:vMerge w:val="restart"/>
                  <w:noWrap w:val="0"/>
                  <w:vAlign w:val="center"/>
                </w:tcPr>
                <w:p>
                  <w:pPr>
                    <w:adjustRightInd w:val="0"/>
                    <w:snapToGrid w:val="0"/>
                    <w:jc w:val="center"/>
                    <w:rPr>
                      <w:sz w:val="18"/>
                      <w:szCs w:val="18"/>
                    </w:rPr>
                  </w:pPr>
                  <w:r>
                    <w:rPr>
                      <w:rFonts w:hint="eastAsia"/>
                      <w:sz w:val="18"/>
                      <w:szCs w:val="18"/>
                      <w:lang w:val="en-US" w:eastAsia="zh-CN"/>
                    </w:rPr>
                    <w:t>27</w:t>
                  </w:r>
                </w:p>
              </w:tc>
              <w:tc>
                <w:tcPr>
                  <w:tcW w:w="692" w:type="dxa"/>
                  <w:noWrap w:val="0"/>
                  <w:vAlign w:val="center"/>
                </w:tcPr>
                <w:p>
                  <w:pPr>
                    <w:adjustRightInd w:val="0"/>
                    <w:snapToGrid w:val="0"/>
                    <w:jc w:val="center"/>
                    <w:rPr>
                      <w:rFonts w:hint="eastAsia"/>
                      <w:sz w:val="18"/>
                      <w:szCs w:val="18"/>
                      <w:lang w:val="en-US" w:eastAsia="zh-CN"/>
                    </w:rPr>
                  </w:pPr>
                  <w:r>
                    <w:rPr>
                      <w:rFonts w:hint="eastAsia" w:ascii="Times New Roman" w:hAnsi="Times New Roman" w:eastAsia="宋体" w:cs="Times New Roman"/>
                      <w:sz w:val="18"/>
                      <w:szCs w:val="18"/>
                      <w:lang w:val="en-US" w:eastAsia="zh-CN"/>
                    </w:rPr>
                    <w:t>50</w:t>
                  </w:r>
                </w:p>
              </w:tc>
              <w:tc>
                <w:tcPr>
                  <w:tcW w:w="916" w:type="dxa"/>
                  <w:noWrap w:val="0"/>
                  <w:vAlign w:val="center"/>
                </w:tcPr>
                <w:p>
                  <w:pPr>
                    <w:adjustRightInd w:val="0"/>
                    <w:snapToGrid w:val="0"/>
                    <w:jc w:val="center"/>
                    <w:rPr>
                      <w:rFonts w:hint="eastAsia"/>
                      <w:sz w:val="18"/>
                      <w:szCs w:val="18"/>
                      <w:lang w:val="en-US" w:eastAsia="zh-CN"/>
                    </w:rPr>
                  </w:pPr>
                  <w:r>
                    <w:rPr>
                      <w:rFonts w:hint="eastAsia" w:ascii="Times New Roman" w:hAnsi="Times New Roman" w:eastAsia="宋体" w:cs="Times New Roman"/>
                      <w:sz w:val="18"/>
                      <w:szCs w:val="18"/>
                      <w:lang w:val="en-US" w:eastAsia="zh-CN"/>
                    </w:rPr>
                    <w:t>0.0014</w:t>
                  </w:r>
                </w:p>
              </w:tc>
              <w:tc>
                <w:tcPr>
                  <w:tcW w:w="344" w:type="pct"/>
                  <w:vMerge w:val="restart"/>
                  <w:noWrap w:val="0"/>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36" w:type="pct"/>
                  <w:vMerge w:val="continue"/>
                  <w:noWrap w:val="0"/>
                  <w:vAlign w:val="center"/>
                </w:tcPr>
                <w:p>
                  <w:pPr>
                    <w:adjustRightInd w:val="0"/>
                    <w:snapToGrid w:val="0"/>
                    <w:jc w:val="center"/>
                  </w:pPr>
                </w:p>
              </w:tc>
              <w:tc>
                <w:tcPr>
                  <w:tcW w:w="236" w:type="pct"/>
                  <w:vMerge w:val="continue"/>
                  <w:noWrap w:val="0"/>
                  <w:vAlign w:val="center"/>
                </w:tcPr>
                <w:p>
                  <w:pPr>
                    <w:adjustRightInd w:val="0"/>
                    <w:snapToGrid w:val="0"/>
                    <w:jc w:val="center"/>
                  </w:pPr>
                </w:p>
              </w:tc>
              <w:tc>
                <w:tcPr>
                  <w:tcW w:w="480" w:type="pct"/>
                  <w:noWrap w:val="0"/>
                  <w:vAlign w:val="center"/>
                </w:tcPr>
                <w:p>
                  <w:pPr>
                    <w:adjustRightInd w:val="0"/>
                    <w:snapToGrid w:val="0"/>
                    <w:jc w:val="center"/>
                    <w:rPr>
                      <w:sz w:val="18"/>
                      <w:szCs w:val="18"/>
                    </w:rPr>
                  </w:pPr>
                  <w:r>
                    <w:rPr>
                      <w:sz w:val="18"/>
                      <w:szCs w:val="18"/>
                    </w:rPr>
                    <w:t>SS</w:t>
                  </w:r>
                </w:p>
              </w:tc>
              <w:tc>
                <w:tcPr>
                  <w:tcW w:w="236" w:type="pct"/>
                  <w:vMerge w:val="continue"/>
                  <w:noWrap w:val="0"/>
                  <w:vAlign w:val="center"/>
                </w:tcPr>
                <w:p>
                  <w:pPr>
                    <w:adjustRightInd w:val="0"/>
                    <w:snapToGrid w:val="0"/>
                    <w:jc w:val="center"/>
                    <w:rPr>
                      <w:sz w:val="18"/>
                      <w:szCs w:val="18"/>
                    </w:rPr>
                  </w:pPr>
                </w:p>
              </w:tc>
              <w:tc>
                <w:tcPr>
                  <w:tcW w:w="384" w:type="pct"/>
                  <w:vMerge w:val="continue"/>
                  <w:noWrap w:val="0"/>
                  <w:vAlign w:val="center"/>
                </w:tcPr>
                <w:p>
                  <w:pPr>
                    <w:adjustRightInd w:val="0"/>
                    <w:snapToGrid w:val="0"/>
                    <w:jc w:val="center"/>
                    <w:rPr>
                      <w:sz w:val="18"/>
                      <w:szCs w:val="18"/>
                    </w:rPr>
                  </w:pPr>
                </w:p>
              </w:tc>
              <w:tc>
                <w:tcPr>
                  <w:tcW w:w="403" w:type="pct"/>
                  <w:noWrap w:val="0"/>
                  <w:vAlign w:val="center"/>
                </w:tcPr>
                <w:p>
                  <w:pPr>
                    <w:adjustRightInd w:val="0"/>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40</w:t>
                  </w:r>
                </w:p>
              </w:tc>
              <w:tc>
                <w:tcPr>
                  <w:tcW w:w="485" w:type="pct"/>
                  <w:noWrap w:val="0"/>
                  <w:vAlign w:val="center"/>
                </w:tcPr>
                <w:p>
                  <w:pPr>
                    <w:adjustRightInd w:val="0"/>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0.0011</w:t>
                  </w:r>
                </w:p>
              </w:tc>
              <w:tc>
                <w:tcPr>
                  <w:tcW w:w="242" w:type="pct"/>
                  <w:vMerge w:val="continue"/>
                  <w:noWrap w:val="0"/>
                  <w:vAlign w:val="center"/>
                </w:tcPr>
                <w:p>
                  <w:pPr>
                    <w:adjustRightInd w:val="0"/>
                    <w:snapToGrid w:val="0"/>
                    <w:jc w:val="center"/>
                    <w:rPr>
                      <w:sz w:val="18"/>
                      <w:szCs w:val="18"/>
                    </w:rPr>
                  </w:pPr>
                </w:p>
              </w:tc>
              <w:tc>
                <w:tcPr>
                  <w:tcW w:w="267" w:type="pct"/>
                  <w:noWrap w:val="0"/>
                  <w:vAlign w:val="center"/>
                </w:tcPr>
                <w:p>
                  <w:pPr>
                    <w:widowControl/>
                    <w:adjustRightInd w:val="0"/>
                    <w:snapToGrid w:val="0"/>
                    <w:jc w:val="center"/>
                    <w:textAlignment w:val="center"/>
                    <w:rPr>
                      <w:sz w:val="18"/>
                      <w:szCs w:val="18"/>
                    </w:rPr>
                  </w:pPr>
                  <w:r>
                    <w:rPr>
                      <w:rFonts w:hint="eastAsia"/>
                      <w:sz w:val="18"/>
                      <w:szCs w:val="18"/>
                    </w:rPr>
                    <w:t>/</w:t>
                  </w:r>
                </w:p>
              </w:tc>
              <w:tc>
                <w:tcPr>
                  <w:tcW w:w="334" w:type="pct"/>
                  <w:vMerge w:val="continue"/>
                  <w:noWrap w:val="0"/>
                  <w:vAlign w:val="center"/>
                </w:tcPr>
                <w:p>
                  <w:pPr>
                    <w:adjustRightInd w:val="0"/>
                    <w:snapToGrid w:val="0"/>
                    <w:jc w:val="center"/>
                    <w:rPr>
                      <w:sz w:val="18"/>
                      <w:szCs w:val="18"/>
                    </w:rPr>
                  </w:pPr>
                </w:p>
              </w:tc>
              <w:tc>
                <w:tcPr>
                  <w:tcW w:w="621" w:type="dxa"/>
                  <w:vMerge w:val="continue"/>
                  <w:noWrap w:val="0"/>
                  <w:vAlign w:val="center"/>
                </w:tcPr>
                <w:p>
                  <w:pPr>
                    <w:adjustRightInd w:val="0"/>
                    <w:snapToGrid w:val="0"/>
                    <w:jc w:val="center"/>
                    <w:rPr>
                      <w:sz w:val="18"/>
                      <w:szCs w:val="18"/>
                    </w:rPr>
                  </w:pPr>
                </w:p>
              </w:tc>
              <w:tc>
                <w:tcPr>
                  <w:tcW w:w="692" w:type="dxa"/>
                  <w:noWrap w:val="0"/>
                  <w:vAlign w:val="center"/>
                </w:tcPr>
                <w:p>
                  <w:pPr>
                    <w:adjustRightInd w:val="0"/>
                    <w:snapToGrid w:val="0"/>
                    <w:jc w:val="center"/>
                    <w:rPr>
                      <w:sz w:val="18"/>
                      <w:szCs w:val="18"/>
                    </w:rPr>
                  </w:pPr>
                  <w:r>
                    <w:rPr>
                      <w:rFonts w:hint="eastAsia" w:ascii="Times New Roman" w:hAnsi="Times New Roman" w:eastAsia="宋体" w:cs="Times New Roman"/>
                      <w:sz w:val="18"/>
                      <w:szCs w:val="18"/>
                      <w:lang w:val="en-US" w:eastAsia="zh-CN"/>
                    </w:rPr>
                    <w:t>40</w:t>
                  </w:r>
                </w:p>
              </w:tc>
              <w:tc>
                <w:tcPr>
                  <w:tcW w:w="916" w:type="dxa"/>
                  <w:noWrap w:val="0"/>
                  <w:vAlign w:val="center"/>
                </w:tcPr>
                <w:p>
                  <w:pPr>
                    <w:adjustRightInd w:val="0"/>
                    <w:snapToGrid w:val="0"/>
                    <w:jc w:val="center"/>
                    <w:rPr>
                      <w:sz w:val="18"/>
                      <w:szCs w:val="18"/>
                    </w:rPr>
                  </w:pPr>
                  <w:r>
                    <w:rPr>
                      <w:rFonts w:hint="eastAsia" w:ascii="Times New Roman" w:hAnsi="Times New Roman" w:eastAsia="宋体" w:cs="Times New Roman"/>
                      <w:sz w:val="18"/>
                      <w:szCs w:val="18"/>
                      <w:lang w:val="en-US" w:eastAsia="zh-CN"/>
                    </w:rPr>
                    <w:t>0.0011</w:t>
                  </w:r>
                </w:p>
              </w:tc>
              <w:tc>
                <w:tcPr>
                  <w:tcW w:w="344" w:type="pct"/>
                  <w:vMerge w:val="continue"/>
                  <w:noWrap w:val="0"/>
                  <w:vAlign w:val="center"/>
                </w:tcPr>
                <w:p>
                  <w:pPr>
                    <w:adjustRightInd w:val="0"/>
                    <w:snapToGrid w:val="0"/>
                    <w:jc w:val="center"/>
                    <w:rPr>
                      <w:sz w:val="18"/>
                      <w:szCs w:val="18"/>
                    </w:rPr>
                  </w:pPr>
                </w:p>
              </w:tc>
            </w:tr>
          </w:tbl>
          <w:p>
            <w:pPr>
              <w:snapToGrid w:val="0"/>
              <w:spacing w:before="120" w:beforeLines="50"/>
              <w:jc w:val="center"/>
              <w:rPr>
                <w:b/>
                <w:bCs/>
                <w:sz w:val="24"/>
              </w:rPr>
            </w:pPr>
            <w:r>
              <w:rPr>
                <w:b/>
                <w:bCs/>
                <w:sz w:val="24"/>
              </w:rPr>
              <w:t>表4-</w:t>
            </w:r>
            <w:r>
              <w:rPr>
                <w:rFonts w:hint="eastAsia"/>
                <w:b/>
                <w:bCs/>
                <w:sz w:val="24"/>
                <w:lang w:val="en-US" w:eastAsia="zh-CN"/>
              </w:rPr>
              <w:t>2</w:t>
            </w:r>
            <w:r>
              <w:rPr>
                <w:b/>
                <w:bCs/>
                <w:sz w:val="24"/>
              </w:rPr>
              <w:t xml:space="preserve"> </w:t>
            </w:r>
            <w:r>
              <w:rPr>
                <w:rFonts w:hint="eastAsia"/>
                <w:b/>
                <w:bCs/>
                <w:sz w:val="24"/>
              </w:rPr>
              <w:t xml:space="preserve"> 综合污水处理厂废水污染源源强核算结果及相关参数一览表</w:t>
            </w:r>
          </w:p>
          <w:tbl>
            <w:tblPr>
              <w:tblStyle w:val="23"/>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776"/>
              <w:gridCol w:w="681"/>
              <w:gridCol w:w="742"/>
              <w:gridCol w:w="934"/>
              <w:gridCol w:w="597"/>
              <w:gridCol w:w="621"/>
              <w:gridCol w:w="591"/>
              <w:gridCol w:w="725"/>
              <w:gridCol w:w="669"/>
              <w:gridCol w:w="901"/>
              <w:gridCol w:w="5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Merge w:val="restart"/>
                  <w:tcBorders>
                    <w:top w:val="single" w:color="auto" w:sz="12" w:space="0"/>
                    <w:left w:val="nil"/>
                    <w:bottom w:val="single" w:color="auto" w:sz="4" w:space="0"/>
                    <w:right w:val="single" w:color="auto" w:sz="4" w:space="0"/>
                  </w:tcBorders>
                  <w:noWrap w:val="0"/>
                  <w:vAlign w:val="center"/>
                </w:tcPr>
                <w:p>
                  <w:pPr>
                    <w:pStyle w:val="47"/>
                    <w:rPr>
                      <w:rFonts w:eastAsia="宋体"/>
                      <w:sz w:val="18"/>
                      <w:szCs w:val="18"/>
                    </w:rPr>
                  </w:pPr>
                  <w:r>
                    <w:rPr>
                      <w:rFonts w:eastAsia="宋体"/>
                      <w:sz w:val="18"/>
                      <w:szCs w:val="18"/>
                    </w:rPr>
                    <w:t>工序</w:t>
                  </w:r>
                </w:p>
              </w:tc>
              <w:tc>
                <w:tcPr>
                  <w:tcW w:w="464" w:type="pct"/>
                  <w:vMerge w:val="restart"/>
                  <w:tcBorders>
                    <w:top w:val="single" w:color="auto" w:sz="12" w:space="0"/>
                    <w:left w:val="single" w:color="auto" w:sz="4" w:space="0"/>
                    <w:bottom w:val="single" w:color="auto" w:sz="4" w:space="0"/>
                    <w:right w:val="single" w:color="auto" w:sz="4" w:space="0"/>
                  </w:tcBorders>
                  <w:noWrap w:val="0"/>
                  <w:vAlign w:val="center"/>
                </w:tcPr>
                <w:p>
                  <w:pPr>
                    <w:pStyle w:val="47"/>
                    <w:rPr>
                      <w:rFonts w:eastAsia="宋体"/>
                      <w:sz w:val="18"/>
                      <w:szCs w:val="18"/>
                    </w:rPr>
                  </w:pPr>
                  <w:r>
                    <w:rPr>
                      <w:rFonts w:eastAsia="宋体"/>
                      <w:sz w:val="18"/>
                      <w:szCs w:val="18"/>
                    </w:rPr>
                    <w:t>污染物</w:t>
                  </w:r>
                </w:p>
              </w:tc>
              <w:tc>
                <w:tcPr>
                  <w:tcW w:w="1408" w:type="pct"/>
                  <w:gridSpan w:val="3"/>
                  <w:tcBorders>
                    <w:top w:val="single" w:color="auto" w:sz="12" w:space="0"/>
                    <w:left w:val="single" w:color="auto" w:sz="4" w:space="0"/>
                    <w:bottom w:val="single" w:color="auto" w:sz="4" w:space="0"/>
                    <w:right w:val="single" w:color="auto" w:sz="4" w:space="0"/>
                  </w:tcBorders>
                  <w:noWrap w:val="0"/>
                  <w:vAlign w:val="center"/>
                </w:tcPr>
                <w:p>
                  <w:pPr>
                    <w:pStyle w:val="47"/>
                    <w:rPr>
                      <w:rFonts w:eastAsia="宋体"/>
                      <w:sz w:val="18"/>
                      <w:szCs w:val="18"/>
                    </w:rPr>
                  </w:pPr>
                  <w:r>
                    <w:rPr>
                      <w:rFonts w:eastAsia="宋体"/>
                      <w:sz w:val="18"/>
                      <w:szCs w:val="18"/>
                    </w:rPr>
                    <w:t>进入厂区综合污水处理厂污染物情况</w:t>
                  </w:r>
                </w:p>
              </w:tc>
              <w:tc>
                <w:tcPr>
                  <w:tcW w:w="728" w:type="pct"/>
                  <w:gridSpan w:val="2"/>
                  <w:tcBorders>
                    <w:top w:val="single" w:color="auto" w:sz="12" w:space="0"/>
                    <w:left w:val="single" w:color="auto" w:sz="4" w:space="0"/>
                    <w:bottom w:val="single" w:color="auto" w:sz="4" w:space="0"/>
                    <w:right w:val="single" w:color="auto" w:sz="4" w:space="0"/>
                  </w:tcBorders>
                  <w:noWrap w:val="0"/>
                  <w:vAlign w:val="center"/>
                </w:tcPr>
                <w:p>
                  <w:pPr>
                    <w:pStyle w:val="47"/>
                    <w:rPr>
                      <w:rFonts w:eastAsia="宋体"/>
                      <w:sz w:val="18"/>
                      <w:szCs w:val="18"/>
                    </w:rPr>
                  </w:pPr>
                  <w:r>
                    <w:rPr>
                      <w:rFonts w:eastAsia="宋体"/>
                      <w:sz w:val="18"/>
                      <w:szCs w:val="18"/>
                    </w:rPr>
                    <w:t>治理措施</w:t>
                  </w:r>
                </w:p>
              </w:tc>
              <w:tc>
                <w:tcPr>
                  <w:tcW w:w="1724" w:type="pct"/>
                  <w:gridSpan w:val="4"/>
                  <w:tcBorders>
                    <w:top w:val="single" w:color="auto" w:sz="12" w:space="0"/>
                    <w:left w:val="single" w:color="auto" w:sz="4" w:space="0"/>
                    <w:bottom w:val="single" w:color="auto" w:sz="4" w:space="0"/>
                    <w:right w:val="single" w:color="auto" w:sz="4" w:space="0"/>
                  </w:tcBorders>
                  <w:noWrap w:val="0"/>
                  <w:vAlign w:val="center"/>
                </w:tcPr>
                <w:p>
                  <w:pPr>
                    <w:pStyle w:val="47"/>
                    <w:rPr>
                      <w:rFonts w:eastAsia="宋体"/>
                      <w:sz w:val="18"/>
                      <w:szCs w:val="18"/>
                    </w:rPr>
                  </w:pPr>
                  <w:r>
                    <w:rPr>
                      <w:rFonts w:eastAsia="宋体"/>
                      <w:sz w:val="18"/>
                      <w:szCs w:val="18"/>
                    </w:rPr>
                    <w:t>污染物排放</w:t>
                  </w:r>
                </w:p>
              </w:tc>
              <w:tc>
                <w:tcPr>
                  <w:tcW w:w="336" w:type="pct"/>
                  <w:vMerge w:val="restart"/>
                  <w:tcBorders>
                    <w:top w:val="single" w:color="auto" w:sz="12" w:space="0"/>
                    <w:left w:val="single" w:color="auto" w:sz="4" w:space="0"/>
                    <w:bottom w:val="single" w:color="auto" w:sz="4" w:space="0"/>
                    <w:right w:val="nil"/>
                  </w:tcBorders>
                  <w:noWrap w:val="0"/>
                  <w:vAlign w:val="center"/>
                </w:tcPr>
                <w:p>
                  <w:pPr>
                    <w:pStyle w:val="47"/>
                    <w:rPr>
                      <w:rFonts w:eastAsia="宋体"/>
                      <w:sz w:val="18"/>
                      <w:szCs w:val="18"/>
                    </w:rPr>
                  </w:pPr>
                  <w:r>
                    <w:rPr>
                      <w:rFonts w:eastAsia="宋体"/>
                      <w:sz w:val="18"/>
                      <w:szCs w:val="18"/>
                    </w:rPr>
                    <w:t>排放时间/h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Merge w:val="continue"/>
                  <w:tcBorders>
                    <w:top w:val="single" w:color="auto" w:sz="4" w:space="0"/>
                    <w:left w:val="nil"/>
                    <w:bottom w:val="single" w:color="auto" w:sz="4" w:space="0"/>
                    <w:right w:val="single" w:color="auto" w:sz="4" w:space="0"/>
                  </w:tcBorders>
                  <w:noWrap w:val="0"/>
                  <w:vAlign w:val="center"/>
                </w:tcPr>
                <w:p>
                  <w:pPr>
                    <w:pStyle w:val="47"/>
                    <w:rPr>
                      <w:rFonts w:eastAsia="宋体"/>
                      <w:sz w:val="18"/>
                      <w:szCs w:val="18"/>
                    </w:rPr>
                  </w:pPr>
                </w:p>
              </w:tc>
              <w:tc>
                <w:tcPr>
                  <w:tcW w:w="464" w:type="pct"/>
                  <w:vMerge w:val="continue"/>
                  <w:tcBorders>
                    <w:top w:val="single" w:color="auto" w:sz="4" w:space="0"/>
                    <w:left w:val="single" w:color="auto" w:sz="4" w:space="0"/>
                    <w:bottom w:val="single" w:color="auto" w:sz="4" w:space="0"/>
                    <w:right w:val="single" w:color="auto" w:sz="4" w:space="0"/>
                  </w:tcBorders>
                  <w:noWrap w:val="0"/>
                  <w:vAlign w:val="center"/>
                </w:tcPr>
                <w:p>
                  <w:pPr>
                    <w:pStyle w:val="47"/>
                    <w:rPr>
                      <w:rFonts w:eastAsia="宋体"/>
                      <w:sz w:val="18"/>
                      <w:szCs w:val="18"/>
                    </w:rPr>
                  </w:pPr>
                </w:p>
              </w:tc>
              <w:tc>
                <w:tcPr>
                  <w:tcW w:w="407" w:type="pct"/>
                  <w:tcBorders>
                    <w:top w:val="single" w:color="auto" w:sz="4" w:space="0"/>
                    <w:left w:val="single" w:color="000000" w:sz="4" w:space="0"/>
                    <w:bottom w:val="single" w:color="auto" w:sz="4" w:space="0"/>
                    <w:right w:val="single" w:color="auto" w:sz="4" w:space="0"/>
                  </w:tcBorders>
                  <w:noWrap w:val="0"/>
                  <w:vAlign w:val="center"/>
                </w:tcPr>
                <w:p>
                  <w:pPr>
                    <w:pStyle w:val="47"/>
                    <w:rPr>
                      <w:rFonts w:eastAsia="宋体"/>
                      <w:sz w:val="18"/>
                      <w:szCs w:val="18"/>
                    </w:rPr>
                  </w:pPr>
                  <w:r>
                    <w:rPr>
                      <w:rFonts w:eastAsia="宋体"/>
                      <w:sz w:val="18"/>
                      <w:szCs w:val="18"/>
                    </w:rPr>
                    <w:t>产生废水量</w:t>
                  </w:r>
                  <w:r>
                    <w:rPr>
                      <w:rFonts w:hint="eastAsia" w:eastAsia="宋体"/>
                      <w:sz w:val="18"/>
                      <w:szCs w:val="18"/>
                    </w:rPr>
                    <w:t>t/a</w:t>
                  </w:r>
                </w:p>
              </w:tc>
              <w:tc>
                <w:tcPr>
                  <w:tcW w:w="443" w:type="pct"/>
                  <w:tcBorders>
                    <w:top w:val="single" w:color="auto" w:sz="4" w:space="0"/>
                    <w:left w:val="single" w:color="auto" w:sz="4" w:space="0"/>
                    <w:bottom w:val="single" w:color="auto" w:sz="4" w:space="0"/>
                    <w:right w:val="single" w:color="auto" w:sz="4" w:space="0"/>
                  </w:tcBorders>
                  <w:noWrap w:val="0"/>
                  <w:vAlign w:val="center"/>
                </w:tcPr>
                <w:p>
                  <w:pPr>
                    <w:pStyle w:val="47"/>
                    <w:rPr>
                      <w:rFonts w:eastAsia="宋体"/>
                      <w:sz w:val="18"/>
                      <w:szCs w:val="18"/>
                    </w:rPr>
                  </w:pPr>
                  <w:r>
                    <w:rPr>
                      <w:rFonts w:eastAsia="宋体"/>
                      <w:sz w:val="18"/>
                      <w:szCs w:val="18"/>
                    </w:rPr>
                    <w:t>产生浓度mg/L</w:t>
                  </w: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47"/>
                    <w:rPr>
                      <w:rFonts w:eastAsia="宋体"/>
                      <w:sz w:val="18"/>
                      <w:szCs w:val="18"/>
                    </w:rPr>
                  </w:pPr>
                  <w:r>
                    <w:rPr>
                      <w:rFonts w:eastAsia="宋体"/>
                      <w:sz w:val="18"/>
                      <w:szCs w:val="18"/>
                    </w:rPr>
                    <w:t>产生量</w:t>
                  </w:r>
                  <w:r>
                    <w:rPr>
                      <w:rFonts w:hint="eastAsia" w:eastAsia="宋体"/>
                      <w:sz w:val="18"/>
                      <w:szCs w:val="18"/>
                    </w:rPr>
                    <w:t>t/a</w:t>
                  </w:r>
                </w:p>
              </w:tc>
              <w:tc>
                <w:tcPr>
                  <w:tcW w:w="357" w:type="pct"/>
                  <w:tcBorders>
                    <w:top w:val="single" w:color="auto" w:sz="4" w:space="0"/>
                    <w:left w:val="single" w:color="auto" w:sz="4" w:space="0"/>
                    <w:bottom w:val="single" w:color="auto" w:sz="4" w:space="0"/>
                    <w:right w:val="single" w:color="auto" w:sz="4" w:space="0"/>
                  </w:tcBorders>
                  <w:noWrap w:val="0"/>
                  <w:vAlign w:val="center"/>
                </w:tcPr>
                <w:p>
                  <w:pPr>
                    <w:pStyle w:val="47"/>
                    <w:rPr>
                      <w:rFonts w:eastAsia="宋体"/>
                      <w:sz w:val="18"/>
                      <w:szCs w:val="18"/>
                    </w:rPr>
                  </w:pPr>
                  <w:r>
                    <w:rPr>
                      <w:rFonts w:eastAsia="宋体"/>
                      <w:sz w:val="18"/>
                      <w:szCs w:val="18"/>
                    </w:rPr>
                    <w:t>工艺</w:t>
                  </w:r>
                </w:p>
              </w:tc>
              <w:tc>
                <w:tcPr>
                  <w:tcW w:w="371" w:type="pct"/>
                  <w:tcBorders>
                    <w:top w:val="single" w:color="auto" w:sz="4" w:space="0"/>
                    <w:left w:val="single" w:color="auto" w:sz="4" w:space="0"/>
                    <w:bottom w:val="single" w:color="auto" w:sz="4" w:space="0"/>
                    <w:right w:val="single" w:color="auto" w:sz="4" w:space="0"/>
                  </w:tcBorders>
                  <w:noWrap w:val="0"/>
                  <w:vAlign w:val="center"/>
                </w:tcPr>
                <w:p>
                  <w:pPr>
                    <w:pStyle w:val="47"/>
                    <w:rPr>
                      <w:rFonts w:eastAsia="宋体"/>
                      <w:sz w:val="18"/>
                      <w:szCs w:val="18"/>
                    </w:rPr>
                  </w:pPr>
                  <w:r>
                    <w:rPr>
                      <w:rFonts w:eastAsia="宋体"/>
                      <w:sz w:val="18"/>
                      <w:szCs w:val="18"/>
                    </w:rPr>
                    <w:t>效率/%</w:t>
                  </w:r>
                </w:p>
              </w:tc>
              <w:tc>
                <w:tcPr>
                  <w:tcW w:w="353" w:type="pct"/>
                  <w:tcBorders>
                    <w:top w:val="single" w:color="auto" w:sz="4" w:space="0"/>
                    <w:left w:val="single" w:color="auto" w:sz="4" w:space="0"/>
                    <w:bottom w:val="single" w:color="auto" w:sz="4" w:space="0"/>
                    <w:right w:val="single" w:color="000000" w:sz="4" w:space="0"/>
                  </w:tcBorders>
                  <w:noWrap w:val="0"/>
                  <w:vAlign w:val="center"/>
                </w:tcPr>
                <w:p>
                  <w:pPr>
                    <w:pStyle w:val="47"/>
                    <w:rPr>
                      <w:rFonts w:eastAsia="宋体"/>
                      <w:sz w:val="18"/>
                      <w:szCs w:val="18"/>
                    </w:rPr>
                  </w:pPr>
                  <w:r>
                    <w:rPr>
                      <w:rFonts w:eastAsia="宋体"/>
                      <w:sz w:val="18"/>
                      <w:szCs w:val="18"/>
                    </w:rPr>
                    <w:t>核算方法</w:t>
                  </w:r>
                </w:p>
              </w:tc>
              <w:tc>
                <w:tcPr>
                  <w:tcW w:w="433" w:type="pct"/>
                  <w:tcBorders>
                    <w:top w:val="single" w:color="auto" w:sz="4" w:space="0"/>
                    <w:left w:val="single" w:color="000000" w:sz="4" w:space="0"/>
                    <w:bottom w:val="single" w:color="auto" w:sz="4" w:space="0"/>
                    <w:right w:val="single" w:color="auto" w:sz="4" w:space="0"/>
                  </w:tcBorders>
                  <w:noWrap w:val="0"/>
                  <w:vAlign w:val="center"/>
                </w:tcPr>
                <w:p>
                  <w:pPr>
                    <w:pStyle w:val="47"/>
                    <w:rPr>
                      <w:rFonts w:eastAsia="宋体"/>
                      <w:sz w:val="18"/>
                      <w:szCs w:val="18"/>
                    </w:rPr>
                  </w:pPr>
                  <w:r>
                    <w:rPr>
                      <w:rFonts w:eastAsia="宋体"/>
                      <w:sz w:val="18"/>
                      <w:szCs w:val="18"/>
                    </w:rPr>
                    <w:t>排放废水量</w:t>
                  </w:r>
                  <w:r>
                    <w:rPr>
                      <w:rFonts w:hint="eastAsia" w:eastAsia="宋体"/>
                      <w:sz w:val="18"/>
                      <w:szCs w:val="18"/>
                    </w:rPr>
                    <w:t>t/a</w:t>
                  </w:r>
                </w:p>
              </w:tc>
              <w:tc>
                <w:tcPr>
                  <w:tcW w:w="400" w:type="pct"/>
                  <w:tcBorders>
                    <w:top w:val="single" w:color="auto" w:sz="4" w:space="0"/>
                    <w:left w:val="single" w:color="auto" w:sz="4" w:space="0"/>
                    <w:bottom w:val="single" w:color="auto" w:sz="4" w:space="0"/>
                    <w:right w:val="single" w:color="auto" w:sz="4" w:space="0"/>
                  </w:tcBorders>
                  <w:noWrap w:val="0"/>
                  <w:vAlign w:val="center"/>
                </w:tcPr>
                <w:p>
                  <w:pPr>
                    <w:pStyle w:val="47"/>
                    <w:rPr>
                      <w:rFonts w:eastAsia="宋体"/>
                      <w:sz w:val="18"/>
                      <w:szCs w:val="18"/>
                    </w:rPr>
                  </w:pPr>
                  <w:r>
                    <w:rPr>
                      <w:rFonts w:eastAsia="宋体"/>
                      <w:sz w:val="18"/>
                      <w:szCs w:val="18"/>
                    </w:rPr>
                    <w:t>排放浓度mg/L</w:t>
                  </w:r>
                </w:p>
              </w:tc>
              <w:tc>
                <w:tcPr>
                  <w:tcW w:w="536" w:type="pct"/>
                  <w:tcBorders>
                    <w:top w:val="single" w:color="auto" w:sz="4" w:space="0"/>
                    <w:left w:val="single" w:color="auto" w:sz="4" w:space="0"/>
                    <w:bottom w:val="single" w:color="auto" w:sz="4" w:space="0"/>
                    <w:right w:val="single" w:color="auto" w:sz="4" w:space="0"/>
                  </w:tcBorders>
                  <w:noWrap w:val="0"/>
                  <w:vAlign w:val="center"/>
                </w:tcPr>
                <w:p>
                  <w:pPr>
                    <w:pStyle w:val="47"/>
                    <w:rPr>
                      <w:rFonts w:eastAsia="宋体"/>
                      <w:sz w:val="18"/>
                      <w:szCs w:val="18"/>
                    </w:rPr>
                  </w:pPr>
                  <w:r>
                    <w:rPr>
                      <w:rFonts w:eastAsia="宋体"/>
                      <w:sz w:val="18"/>
                      <w:szCs w:val="18"/>
                    </w:rPr>
                    <w:t>排放量</w:t>
                  </w:r>
                  <w:r>
                    <w:rPr>
                      <w:rFonts w:hint="eastAsia" w:eastAsia="宋体"/>
                      <w:sz w:val="18"/>
                      <w:szCs w:val="18"/>
                    </w:rPr>
                    <w:t>t/a</w:t>
                  </w:r>
                </w:p>
              </w:tc>
              <w:tc>
                <w:tcPr>
                  <w:tcW w:w="336" w:type="pct"/>
                  <w:vMerge w:val="continue"/>
                  <w:tcBorders>
                    <w:top w:val="single" w:color="auto" w:sz="4" w:space="0"/>
                    <w:left w:val="single" w:color="auto" w:sz="4" w:space="0"/>
                    <w:bottom w:val="single" w:color="auto" w:sz="4" w:space="0"/>
                    <w:right w:val="nil"/>
                  </w:tcBorders>
                  <w:noWrap w:val="0"/>
                  <w:vAlign w:val="center"/>
                </w:tcPr>
                <w:p>
                  <w:pPr>
                    <w:pStyle w:val="47"/>
                    <w:rPr>
                      <w:rFonts w:eastAsia="宋体"/>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Merge w:val="restart"/>
                  <w:tcBorders>
                    <w:top w:val="single" w:color="auto" w:sz="4" w:space="0"/>
                    <w:left w:val="nil"/>
                    <w:right w:val="single" w:color="auto" w:sz="4" w:space="0"/>
                  </w:tcBorders>
                  <w:noWrap w:val="0"/>
                  <w:vAlign w:val="center"/>
                </w:tcPr>
                <w:p>
                  <w:pPr>
                    <w:pStyle w:val="48"/>
                    <w:adjustRightInd w:val="0"/>
                    <w:snapToGrid w:val="0"/>
                    <w:rPr>
                      <w:rFonts w:eastAsia="宋体"/>
                      <w:sz w:val="18"/>
                      <w:szCs w:val="18"/>
                    </w:rPr>
                  </w:pPr>
                  <w:r>
                    <w:rPr>
                      <w:rFonts w:eastAsia="宋体"/>
                      <w:sz w:val="18"/>
                      <w:szCs w:val="18"/>
                    </w:rPr>
                    <w:t>综合污水处理厂</w:t>
                  </w:r>
                </w:p>
              </w:tc>
              <w:tc>
                <w:tcPr>
                  <w:tcW w:w="46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sz w:val="18"/>
                      <w:szCs w:val="18"/>
                    </w:rPr>
                    <w:t>COD</w:t>
                  </w:r>
                </w:p>
              </w:tc>
              <w:tc>
                <w:tcPr>
                  <w:tcW w:w="407" w:type="pct"/>
                  <w:vMerge w:val="restart"/>
                  <w:tcBorders>
                    <w:top w:val="single" w:color="auto" w:sz="4" w:space="0"/>
                    <w:left w:val="single" w:color="000000" w:sz="4" w:space="0"/>
                    <w:right w:val="single" w:color="auto" w:sz="4" w:space="0"/>
                  </w:tcBorders>
                  <w:noWrap w:val="0"/>
                  <w:vAlign w:val="center"/>
                </w:tcPr>
                <w:p>
                  <w:pPr>
                    <w:adjustRightInd w:val="0"/>
                    <w:snapToGrid w:val="0"/>
                    <w:jc w:val="center"/>
                    <w:rPr>
                      <w:rFonts w:hint="default" w:eastAsia="宋体"/>
                      <w:kern w:val="0"/>
                      <w:sz w:val="18"/>
                      <w:szCs w:val="18"/>
                      <w:lang w:val="en-US" w:eastAsia="zh-CN"/>
                    </w:rPr>
                  </w:pPr>
                  <w:r>
                    <w:rPr>
                      <w:rFonts w:hint="eastAsia"/>
                      <w:kern w:val="0"/>
                      <w:sz w:val="18"/>
                      <w:szCs w:val="18"/>
                      <w:lang w:val="en-US" w:eastAsia="zh-CN"/>
                    </w:rPr>
                    <w:t>381.9</w:t>
                  </w:r>
                </w:p>
              </w:tc>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300</w:t>
                  </w:r>
                </w:p>
              </w:tc>
              <w:tc>
                <w:tcPr>
                  <w:tcW w:w="5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0.1146</w:t>
                  </w:r>
                </w:p>
              </w:tc>
              <w:tc>
                <w:tcPr>
                  <w:tcW w:w="357"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sz w:val="18"/>
                      <w:szCs w:val="18"/>
                    </w:rPr>
                  </w:pPr>
                  <w:r>
                    <w:rPr>
                      <w:rFonts w:hint="eastAsia"/>
                      <w:sz w:val="18"/>
                      <w:szCs w:val="18"/>
                    </w:rPr>
                    <w:t>A</w:t>
                  </w:r>
                  <w:r>
                    <w:rPr>
                      <w:rFonts w:hint="eastAsia"/>
                      <w:sz w:val="18"/>
                      <w:szCs w:val="18"/>
                      <w:vertAlign w:val="superscript"/>
                    </w:rPr>
                    <w:t>2</w:t>
                  </w:r>
                  <w:r>
                    <w:rPr>
                      <w:rFonts w:hint="eastAsia"/>
                      <w:sz w:val="18"/>
                      <w:szCs w:val="18"/>
                    </w:rPr>
                    <w:t>/O</w:t>
                  </w:r>
                </w:p>
              </w:tc>
              <w:tc>
                <w:tcPr>
                  <w:tcW w:w="371" w:type="pct"/>
                  <w:tcBorders>
                    <w:top w:val="single" w:color="auto" w:sz="4" w:space="0"/>
                    <w:left w:val="single" w:color="auto" w:sz="4" w:space="0"/>
                    <w:bottom w:val="single" w:color="auto" w:sz="4" w:space="0"/>
                    <w:right w:val="single" w:color="auto" w:sz="4" w:space="0"/>
                  </w:tcBorders>
                  <w:noWrap w:val="0"/>
                  <w:vAlign w:val="center"/>
                </w:tcPr>
                <w:p>
                  <w:pPr>
                    <w:pStyle w:val="48"/>
                    <w:adjustRightInd w:val="0"/>
                    <w:snapToGrid w:val="0"/>
                    <w:rPr>
                      <w:rFonts w:eastAsia="宋体"/>
                      <w:kern w:val="0"/>
                      <w:sz w:val="18"/>
                      <w:szCs w:val="18"/>
                    </w:rPr>
                  </w:pPr>
                  <w:r>
                    <w:rPr>
                      <w:rFonts w:hint="eastAsia" w:eastAsia="宋体"/>
                      <w:kern w:val="0"/>
                      <w:sz w:val="18"/>
                      <w:szCs w:val="18"/>
                    </w:rPr>
                    <w:t>87.5</w:t>
                  </w:r>
                </w:p>
              </w:tc>
              <w:tc>
                <w:tcPr>
                  <w:tcW w:w="353" w:type="pct"/>
                  <w:vMerge w:val="restart"/>
                  <w:tcBorders>
                    <w:top w:val="single" w:color="auto" w:sz="4" w:space="0"/>
                    <w:left w:val="single" w:color="auto" w:sz="4" w:space="0"/>
                    <w:right w:val="single" w:color="000000" w:sz="4" w:space="0"/>
                  </w:tcBorders>
                  <w:noWrap w:val="0"/>
                  <w:vAlign w:val="center"/>
                </w:tcPr>
                <w:p>
                  <w:pPr>
                    <w:adjustRightInd w:val="0"/>
                    <w:snapToGrid w:val="0"/>
                    <w:jc w:val="center"/>
                    <w:rPr>
                      <w:kern w:val="0"/>
                      <w:sz w:val="18"/>
                      <w:szCs w:val="18"/>
                    </w:rPr>
                  </w:pPr>
                  <w:r>
                    <w:rPr>
                      <w:rFonts w:hint="eastAsia"/>
                      <w:kern w:val="0"/>
                      <w:sz w:val="18"/>
                      <w:szCs w:val="18"/>
                    </w:rPr>
                    <w:t>产污系数法</w:t>
                  </w:r>
                </w:p>
              </w:tc>
              <w:tc>
                <w:tcPr>
                  <w:tcW w:w="433" w:type="pct"/>
                  <w:vMerge w:val="restart"/>
                  <w:tcBorders>
                    <w:top w:val="single" w:color="auto" w:sz="4" w:space="0"/>
                    <w:left w:val="single" w:color="000000" w:sz="4" w:space="0"/>
                    <w:right w:val="single" w:color="auto" w:sz="4" w:space="0"/>
                  </w:tcBorders>
                  <w:noWrap w:val="0"/>
                  <w:vAlign w:val="center"/>
                </w:tcPr>
                <w:p>
                  <w:pPr>
                    <w:adjustRightInd w:val="0"/>
                    <w:snapToGrid w:val="0"/>
                    <w:jc w:val="center"/>
                    <w:rPr>
                      <w:rFonts w:hint="default" w:eastAsia="宋体"/>
                      <w:kern w:val="0"/>
                      <w:sz w:val="18"/>
                      <w:szCs w:val="18"/>
                      <w:lang w:val="en-US" w:eastAsia="zh-CN"/>
                    </w:rPr>
                  </w:pPr>
                  <w:r>
                    <w:rPr>
                      <w:rFonts w:hint="eastAsia"/>
                      <w:kern w:val="0"/>
                      <w:szCs w:val="21"/>
                      <w:lang w:val="en-US" w:eastAsia="zh-CN" w:bidi="ar"/>
                    </w:rPr>
                    <w:t>381.9</w:t>
                  </w:r>
                </w:p>
              </w:tc>
              <w:tc>
                <w:tcPr>
                  <w:tcW w:w="40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50</w:t>
                  </w:r>
                </w:p>
              </w:tc>
              <w:tc>
                <w:tcPr>
                  <w:tcW w:w="53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eastAsia="宋体"/>
                      <w:sz w:val="18"/>
                      <w:szCs w:val="18"/>
                      <w:lang w:val="en-US" w:eastAsia="zh-CN"/>
                    </w:rPr>
                  </w:pPr>
                  <w:r>
                    <w:rPr>
                      <w:rFonts w:hint="eastAsia"/>
                      <w:sz w:val="18"/>
                      <w:szCs w:val="18"/>
                    </w:rPr>
                    <w:t>0.01</w:t>
                  </w:r>
                  <w:r>
                    <w:rPr>
                      <w:rFonts w:hint="eastAsia"/>
                      <w:sz w:val="18"/>
                      <w:szCs w:val="18"/>
                      <w:lang w:val="en-US" w:eastAsia="zh-CN"/>
                    </w:rPr>
                    <w:t>91</w:t>
                  </w:r>
                </w:p>
              </w:tc>
              <w:tc>
                <w:tcPr>
                  <w:tcW w:w="336" w:type="pct"/>
                  <w:vMerge w:val="restart"/>
                  <w:tcBorders>
                    <w:top w:val="single" w:color="auto" w:sz="4" w:space="0"/>
                    <w:left w:val="single" w:color="auto" w:sz="4" w:space="0"/>
                    <w:right w:val="nil"/>
                  </w:tcBorders>
                  <w:noWrap w:val="0"/>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Merge w:val="continue"/>
                  <w:tcBorders>
                    <w:left w:val="nil"/>
                    <w:right w:val="single" w:color="auto" w:sz="4" w:space="0"/>
                  </w:tcBorders>
                  <w:noWrap w:val="0"/>
                  <w:vAlign w:val="center"/>
                </w:tcPr>
                <w:p>
                  <w:pPr>
                    <w:adjustRightInd w:val="0"/>
                    <w:snapToGrid w:val="0"/>
                    <w:jc w:val="center"/>
                    <w:rPr>
                      <w:sz w:val="18"/>
                      <w:szCs w:val="18"/>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sz w:val="18"/>
                      <w:szCs w:val="18"/>
                    </w:rPr>
                    <w:t>SS</w:t>
                  </w:r>
                </w:p>
              </w:tc>
              <w:tc>
                <w:tcPr>
                  <w:tcW w:w="407" w:type="pct"/>
                  <w:vMerge w:val="continue"/>
                  <w:tcBorders>
                    <w:left w:val="single" w:color="000000" w:sz="4" w:space="0"/>
                    <w:right w:val="single" w:color="auto" w:sz="4" w:space="0"/>
                  </w:tcBorders>
                  <w:noWrap w:val="0"/>
                  <w:vAlign w:val="center"/>
                </w:tcPr>
                <w:p>
                  <w:pPr>
                    <w:adjustRightInd w:val="0"/>
                    <w:snapToGrid w:val="0"/>
                    <w:jc w:val="center"/>
                    <w:rPr>
                      <w:kern w:val="0"/>
                      <w:sz w:val="18"/>
                      <w:szCs w:val="18"/>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220</w:t>
                  </w:r>
                </w:p>
              </w:tc>
              <w:tc>
                <w:tcPr>
                  <w:tcW w:w="5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0.0840</w:t>
                  </w:r>
                </w:p>
              </w:tc>
              <w:tc>
                <w:tcPr>
                  <w:tcW w:w="357" w:type="pct"/>
                  <w:vMerge w:val="continue"/>
                  <w:tcBorders>
                    <w:left w:val="single" w:color="auto" w:sz="4" w:space="0"/>
                    <w:right w:val="single" w:color="auto" w:sz="4" w:space="0"/>
                  </w:tcBorders>
                  <w:noWrap w:val="0"/>
                  <w:vAlign w:val="center"/>
                </w:tcPr>
                <w:p>
                  <w:pPr>
                    <w:widowControl/>
                    <w:adjustRightInd w:val="0"/>
                    <w:snapToGrid w:val="0"/>
                    <w:jc w:val="center"/>
                    <w:rPr>
                      <w:sz w:val="18"/>
                      <w:szCs w:val="18"/>
                    </w:rPr>
                  </w:pPr>
                </w:p>
              </w:tc>
              <w:tc>
                <w:tcPr>
                  <w:tcW w:w="371" w:type="pct"/>
                  <w:tcBorders>
                    <w:top w:val="single" w:color="auto" w:sz="4" w:space="0"/>
                    <w:left w:val="single" w:color="auto" w:sz="4" w:space="0"/>
                    <w:bottom w:val="single" w:color="auto" w:sz="4" w:space="0"/>
                    <w:right w:val="single" w:color="auto" w:sz="4" w:space="0"/>
                  </w:tcBorders>
                  <w:noWrap w:val="0"/>
                  <w:vAlign w:val="center"/>
                </w:tcPr>
                <w:p>
                  <w:pPr>
                    <w:pStyle w:val="48"/>
                    <w:adjustRightInd w:val="0"/>
                    <w:snapToGrid w:val="0"/>
                    <w:rPr>
                      <w:rFonts w:eastAsia="宋体"/>
                      <w:sz w:val="18"/>
                      <w:szCs w:val="18"/>
                    </w:rPr>
                  </w:pPr>
                  <w:r>
                    <w:rPr>
                      <w:rFonts w:hint="eastAsia" w:eastAsia="宋体"/>
                      <w:sz w:val="18"/>
                      <w:szCs w:val="18"/>
                    </w:rPr>
                    <w:t>95</w:t>
                  </w:r>
                </w:p>
              </w:tc>
              <w:tc>
                <w:tcPr>
                  <w:tcW w:w="353" w:type="pct"/>
                  <w:vMerge w:val="continue"/>
                  <w:tcBorders>
                    <w:left w:val="single" w:color="auto" w:sz="4" w:space="0"/>
                    <w:right w:val="single" w:color="000000" w:sz="4" w:space="0"/>
                  </w:tcBorders>
                  <w:noWrap w:val="0"/>
                  <w:vAlign w:val="center"/>
                </w:tcPr>
                <w:p>
                  <w:pPr>
                    <w:adjustRightInd w:val="0"/>
                    <w:snapToGrid w:val="0"/>
                    <w:jc w:val="center"/>
                    <w:rPr>
                      <w:kern w:val="0"/>
                      <w:sz w:val="18"/>
                      <w:szCs w:val="18"/>
                    </w:rPr>
                  </w:pPr>
                </w:p>
              </w:tc>
              <w:tc>
                <w:tcPr>
                  <w:tcW w:w="433" w:type="pct"/>
                  <w:vMerge w:val="continue"/>
                  <w:tcBorders>
                    <w:left w:val="single" w:color="000000" w:sz="4" w:space="0"/>
                    <w:right w:val="single" w:color="auto" w:sz="4" w:space="0"/>
                  </w:tcBorders>
                  <w:noWrap w:val="0"/>
                  <w:vAlign w:val="center"/>
                </w:tcPr>
                <w:p>
                  <w:pPr>
                    <w:adjustRightInd w:val="0"/>
                    <w:snapToGrid w:val="0"/>
                    <w:jc w:val="center"/>
                    <w:rPr>
                      <w:kern w:val="0"/>
                      <w:sz w:val="18"/>
                      <w:szCs w:val="18"/>
                    </w:rPr>
                  </w:pPr>
                </w:p>
              </w:tc>
              <w:tc>
                <w:tcPr>
                  <w:tcW w:w="40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10</w:t>
                  </w:r>
                </w:p>
              </w:tc>
              <w:tc>
                <w:tcPr>
                  <w:tcW w:w="53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eastAsia="宋体"/>
                      <w:sz w:val="18"/>
                      <w:szCs w:val="18"/>
                      <w:lang w:val="en-US" w:eastAsia="zh-CN"/>
                    </w:rPr>
                  </w:pPr>
                  <w:r>
                    <w:rPr>
                      <w:rFonts w:hint="eastAsia"/>
                      <w:sz w:val="18"/>
                      <w:szCs w:val="18"/>
                    </w:rPr>
                    <w:t>0.0</w:t>
                  </w:r>
                  <w:r>
                    <w:rPr>
                      <w:rFonts w:hint="eastAsia"/>
                      <w:sz w:val="18"/>
                      <w:szCs w:val="18"/>
                      <w:lang w:val="en-US" w:eastAsia="zh-CN"/>
                    </w:rPr>
                    <w:t>038</w:t>
                  </w:r>
                </w:p>
              </w:tc>
              <w:tc>
                <w:tcPr>
                  <w:tcW w:w="336" w:type="pct"/>
                  <w:vMerge w:val="continue"/>
                  <w:tcBorders>
                    <w:left w:val="single" w:color="auto" w:sz="4" w:space="0"/>
                    <w:right w:val="nil"/>
                  </w:tcBorders>
                  <w:noWrap w:val="0"/>
                  <w:vAlign w:val="center"/>
                </w:tcPr>
                <w:p>
                  <w:pPr>
                    <w:adjustRightInd w:val="0"/>
                    <w:snapToGrid w:val="0"/>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Merge w:val="continue"/>
                  <w:tcBorders>
                    <w:left w:val="nil"/>
                    <w:right w:val="single" w:color="auto" w:sz="4" w:space="0"/>
                  </w:tcBorders>
                  <w:noWrap w:val="0"/>
                  <w:vAlign w:val="center"/>
                </w:tcPr>
                <w:p>
                  <w:pPr>
                    <w:adjustRightInd w:val="0"/>
                    <w:snapToGrid w:val="0"/>
                    <w:jc w:val="center"/>
                    <w:rPr>
                      <w:sz w:val="18"/>
                      <w:szCs w:val="18"/>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sz w:val="18"/>
                      <w:szCs w:val="18"/>
                    </w:rPr>
                    <w:t>NH</w:t>
                  </w:r>
                  <w:r>
                    <w:rPr>
                      <w:sz w:val="18"/>
                      <w:szCs w:val="18"/>
                      <w:vertAlign w:val="subscript"/>
                    </w:rPr>
                    <w:t>3</w:t>
                  </w:r>
                  <w:r>
                    <w:rPr>
                      <w:sz w:val="18"/>
                      <w:szCs w:val="18"/>
                    </w:rPr>
                    <w:t>-N</w:t>
                  </w:r>
                </w:p>
              </w:tc>
              <w:tc>
                <w:tcPr>
                  <w:tcW w:w="407" w:type="pct"/>
                  <w:vMerge w:val="continue"/>
                  <w:tcBorders>
                    <w:left w:val="single" w:color="000000" w:sz="4" w:space="0"/>
                    <w:right w:val="single" w:color="auto" w:sz="4" w:space="0"/>
                  </w:tcBorders>
                  <w:noWrap w:val="0"/>
                  <w:vAlign w:val="center"/>
                </w:tcPr>
                <w:p>
                  <w:pPr>
                    <w:adjustRightInd w:val="0"/>
                    <w:snapToGrid w:val="0"/>
                    <w:jc w:val="center"/>
                    <w:rPr>
                      <w:kern w:val="0"/>
                      <w:sz w:val="18"/>
                      <w:szCs w:val="18"/>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p>
              </w:tc>
              <w:tc>
                <w:tcPr>
                  <w:tcW w:w="5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0.0076</w:t>
                  </w:r>
                </w:p>
              </w:tc>
              <w:tc>
                <w:tcPr>
                  <w:tcW w:w="357" w:type="pct"/>
                  <w:vMerge w:val="continue"/>
                  <w:tcBorders>
                    <w:left w:val="single" w:color="auto" w:sz="4" w:space="0"/>
                    <w:right w:val="single" w:color="auto" w:sz="4" w:space="0"/>
                  </w:tcBorders>
                  <w:noWrap w:val="0"/>
                  <w:vAlign w:val="center"/>
                </w:tcPr>
                <w:p>
                  <w:pPr>
                    <w:widowControl/>
                    <w:adjustRightInd w:val="0"/>
                    <w:snapToGrid w:val="0"/>
                    <w:jc w:val="center"/>
                    <w:rPr>
                      <w:sz w:val="18"/>
                      <w:szCs w:val="18"/>
                    </w:rPr>
                  </w:pPr>
                </w:p>
              </w:tc>
              <w:tc>
                <w:tcPr>
                  <w:tcW w:w="371" w:type="pct"/>
                  <w:tcBorders>
                    <w:top w:val="single" w:color="auto" w:sz="4" w:space="0"/>
                    <w:left w:val="single" w:color="auto" w:sz="4" w:space="0"/>
                    <w:bottom w:val="single" w:color="auto" w:sz="4" w:space="0"/>
                    <w:right w:val="single" w:color="auto" w:sz="4" w:space="0"/>
                  </w:tcBorders>
                  <w:noWrap w:val="0"/>
                  <w:vAlign w:val="center"/>
                </w:tcPr>
                <w:p>
                  <w:pPr>
                    <w:pStyle w:val="48"/>
                    <w:adjustRightInd w:val="0"/>
                    <w:snapToGrid w:val="0"/>
                    <w:rPr>
                      <w:rFonts w:eastAsia="宋体"/>
                      <w:sz w:val="18"/>
                      <w:szCs w:val="18"/>
                    </w:rPr>
                  </w:pPr>
                  <w:r>
                    <w:rPr>
                      <w:rFonts w:hint="eastAsia" w:eastAsia="宋体"/>
                      <w:sz w:val="18"/>
                      <w:szCs w:val="18"/>
                    </w:rPr>
                    <w:t>86.7</w:t>
                  </w:r>
                </w:p>
              </w:tc>
              <w:tc>
                <w:tcPr>
                  <w:tcW w:w="353" w:type="pct"/>
                  <w:vMerge w:val="continue"/>
                  <w:tcBorders>
                    <w:left w:val="single" w:color="auto" w:sz="4" w:space="0"/>
                    <w:right w:val="single" w:color="000000" w:sz="4" w:space="0"/>
                  </w:tcBorders>
                  <w:noWrap w:val="0"/>
                  <w:vAlign w:val="center"/>
                </w:tcPr>
                <w:p>
                  <w:pPr>
                    <w:adjustRightInd w:val="0"/>
                    <w:snapToGrid w:val="0"/>
                    <w:jc w:val="center"/>
                    <w:rPr>
                      <w:kern w:val="0"/>
                      <w:sz w:val="18"/>
                      <w:szCs w:val="18"/>
                    </w:rPr>
                  </w:pPr>
                </w:p>
              </w:tc>
              <w:tc>
                <w:tcPr>
                  <w:tcW w:w="433" w:type="pct"/>
                  <w:vMerge w:val="continue"/>
                  <w:tcBorders>
                    <w:left w:val="single" w:color="000000" w:sz="4" w:space="0"/>
                    <w:right w:val="single" w:color="auto" w:sz="4" w:space="0"/>
                  </w:tcBorders>
                  <w:noWrap w:val="0"/>
                  <w:vAlign w:val="center"/>
                </w:tcPr>
                <w:p>
                  <w:pPr>
                    <w:adjustRightInd w:val="0"/>
                    <w:snapToGrid w:val="0"/>
                    <w:jc w:val="center"/>
                    <w:rPr>
                      <w:kern w:val="0"/>
                      <w:sz w:val="18"/>
                      <w:szCs w:val="18"/>
                    </w:rPr>
                  </w:pPr>
                </w:p>
              </w:tc>
              <w:tc>
                <w:tcPr>
                  <w:tcW w:w="40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4</w:t>
                  </w:r>
                </w:p>
              </w:tc>
              <w:tc>
                <w:tcPr>
                  <w:tcW w:w="53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eastAsia="宋体"/>
                      <w:sz w:val="18"/>
                      <w:szCs w:val="18"/>
                      <w:lang w:val="en-US" w:eastAsia="zh-CN"/>
                    </w:rPr>
                  </w:pPr>
                  <w:r>
                    <w:rPr>
                      <w:rFonts w:hint="eastAsia"/>
                      <w:sz w:val="18"/>
                      <w:szCs w:val="18"/>
                    </w:rPr>
                    <w:t>0.00</w:t>
                  </w:r>
                  <w:r>
                    <w:rPr>
                      <w:rFonts w:hint="eastAsia"/>
                      <w:sz w:val="18"/>
                      <w:szCs w:val="18"/>
                      <w:lang w:val="en-US" w:eastAsia="zh-CN"/>
                    </w:rPr>
                    <w:t>15</w:t>
                  </w:r>
                </w:p>
              </w:tc>
              <w:tc>
                <w:tcPr>
                  <w:tcW w:w="336" w:type="pct"/>
                  <w:vMerge w:val="continue"/>
                  <w:tcBorders>
                    <w:left w:val="single" w:color="auto" w:sz="4" w:space="0"/>
                    <w:right w:val="nil"/>
                  </w:tcBorders>
                  <w:noWrap w:val="0"/>
                  <w:vAlign w:val="center"/>
                </w:tcPr>
                <w:p>
                  <w:pPr>
                    <w:adjustRightInd w:val="0"/>
                    <w:snapToGrid w:val="0"/>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Merge w:val="continue"/>
                  <w:tcBorders>
                    <w:left w:val="nil"/>
                    <w:right w:val="single" w:color="auto" w:sz="4" w:space="0"/>
                  </w:tcBorders>
                  <w:noWrap w:val="0"/>
                  <w:vAlign w:val="center"/>
                </w:tcPr>
                <w:p>
                  <w:pPr>
                    <w:adjustRightInd w:val="0"/>
                    <w:snapToGrid w:val="0"/>
                    <w:jc w:val="center"/>
                    <w:rPr>
                      <w:sz w:val="18"/>
                      <w:szCs w:val="18"/>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sz w:val="18"/>
                      <w:szCs w:val="18"/>
                    </w:rPr>
                    <w:t>TP</w:t>
                  </w:r>
                </w:p>
              </w:tc>
              <w:tc>
                <w:tcPr>
                  <w:tcW w:w="407" w:type="pct"/>
                  <w:vMerge w:val="continue"/>
                  <w:tcBorders>
                    <w:left w:val="single" w:color="000000" w:sz="4" w:space="0"/>
                    <w:right w:val="single" w:color="auto" w:sz="4" w:space="0"/>
                  </w:tcBorders>
                  <w:noWrap w:val="0"/>
                  <w:vAlign w:val="center"/>
                </w:tcPr>
                <w:p>
                  <w:pPr>
                    <w:adjustRightInd w:val="0"/>
                    <w:snapToGrid w:val="0"/>
                    <w:jc w:val="center"/>
                    <w:rPr>
                      <w:kern w:val="0"/>
                      <w:sz w:val="18"/>
                      <w:szCs w:val="18"/>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w:t>
                  </w:r>
                </w:p>
              </w:tc>
              <w:tc>
                <w:tcPr>
                  <w:tcW w:w="5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0.0004</w:t>
                  </w:r>
                </w:p>
              </w:tc>
              <w:tc>
                <w:tcPr>
                  <w:tcW w:w="357" w:type="pct"/>
                  <w:vMerge w:val="continue"/>
                  <w:tcBorders>
                    <w:left w:val="single" w:color="auto" w:sz="4" w:space="0"/>
                    <w:right w:val="single" w:color="auto" w:sz="4" w:space="0"/>
                  </w:tcBorders>
                  <w:noWrap w:val="0"/>
                  <w:vAlign w:val="center"/>
                </w:tcPr>
                <w:p>
                  <w:pPr>
                    <w:widowControl/>
                    <w:adjustRightInd w:val="0"/>
                    <w:snapToGrid w:val="0"/>
                    <w:jc w:val="center"/>
                    <w:rPr>
                      <w:sz w:val="18"/>
                      <w:szCs w:val="18"/>
                    </w:rPr>
                  </w:pPr>
                </w:p>
              </w:tc>
              <w:tc>
                <w:tcPr>
                  <w:tcW w:w="371" w:type="pct"/>
                  <w:tcBorders>
                    <w:top w:val="single" w:color="auto" w:sz="4" w:space="0"/>
                    <w:left w:val="single" w:color="auto" w:sz="4" w:space="0"/>
                    <w:bottom w:val="single" w:color="auto" w:sz="4" w:space="0"/>
                    <w:right w:val="single" w:color="auto" w:sz="4" w:space="0"/>
                  </w:tcBorders>
                  <w:noWrap w:val="0"/>
                  <w:vAlign w:val="center"/>
                </w:tcPr>
                <w:p>
                  <w:pPr>
                    <w:pStyle w:val="48"/>
                    <w:adjustRightInd w:val="0"/>
                    <w:snapToGrid w:val="0"/>
                    <w:rPr>
                      <w:rFonts w:eastAsia="宋体"/>
                      <w:sz w:val="18"/>
                      <w:szCs w:val="18"/>
                    </w:rPr>
                  </w:pPr>
                  <w:r>
                    <w:rPr>
                      <w:rFonts w:hint="eastAsia" w:eastAsia="宋体"/>
                      <w:sz w:val="18"/>
                      <w:szCs w:val="18"/>
                    </w:rPr>
                    <w:t>83.3</w:t>
                  </w:r>
                </w:p>
              </w:tc>
              <w:tc>
                <w:tcPr>
                  <w:tcW w:w="353" w:type="pct"/>
                  <w:vMerge w:val="continue"/>
                  <w:tcBorders>
                    <w:left w:val="single" w:color="auto" w:sz="4" w:space="0"/>
                    <w:right w:val="single" w:color="000000" w:sz="4" w:space="0"/>
                  </w:tcBorders>
                  <w:noWrap w:val="0"/>
                  <w:vAlign w:val="center"/>
                </w:tcPr>
                <w:p>
                  <w:pPr>
                    <w:adjustRightInd w:val="0"/>
                    <w:snapToGrid w:val="0"/>
                    <w:jc w:val="center"/>
                    <w:rPr>
                      <w:kern w:val="0"/>
                      <w:sz w:val="18"/>
                      <w:szCs w:val="18"/>
                    </w:rPr>
                  </w:pPr>
                </w:p>
              </w:tc>
              <w:tc>
                <w:tcPr>
                  <w:tcW w:w="433" w:type="pct"/>
                  <w:vMerge w:val="continue"/>
                  <w:tcBorders>
                    <w:left w:val="single" w:color="000000" w:sz="4" w:space="0"/>
                    <w:right w:val="single" w:color="auto" w:sz="4" w:space="0"/>
                  </w:tcBorders>
                  <w:noWrap w:val="0"/>
                  <w:vAlign w:val="center"/>
                </w:tcPr>
                <w:p>
                  <w:pPr>
                    <w:adjustRightInd w:val="0"/>
                    <w:snapToGrid w:val="0"/>
                    <w:jc w:val="center"/>
                    <w:rPr>
                      <w:kern w:val="0"/>
                      <w:sz w:val="18"/>
                      <w:szCs w:val="18"/>
                    </w:rPr>
                  </w:pPr>
                </w:p>
              </w:tc>
              <w:tc>
                <w:tcPr>
                  <w:tcW w:w="40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0.5</w:t>
                  </w:r>
                </w:p>
              </w:tc>
              <w:tc>
                <w:tcPr>
                  <w:tcW w:w="53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sz w:val="18"/>
                      <w:szCs w:val="18"/>
                      <w:lang w:val="en-US" w:eastAsia="zh-CN"/>
                    </w:rPr>
                  </w:pPr>
                  <w:r>
                    <w:rPr>
                      <w:rFonts w:hint="eastAsia"/>
                      <w:sz w:val="18"/>
                      <w:szCs w:val="18"/>
                    </w:rPr>
                    <w:t>0.000</w:t>
                  </w:r>
                  <w:r>
                    <w:rPr>
                      <w:rFonts w:hint="eastAsia"/>
                      <w:sz w:val="18"/>
                      <w:szCs w:val="18"/>
                      <w:lang w:val="en-US" w:eastAsia="zh-CN"/>
                    </w:rPr>
                    <w:t>2</w:t>
                  </w:r>
                </w:p>
              </w:tc>
              <w:tc>
                <w:tcPr>
                  <w:tcW w:w="336" w:type="pct"/>
                  <w:vMerge w:val="continue"/>
                  <w:tcBorders>
                    <w:left w:val="single" w:color="auto" w:sz="4" w:space="0"/>
                    <w:right w:val="nil"/>
                  </w:tcBorders>
                  <w:noWrap w:val="0"/>
                  <w:vAlign w:val="center"/>
                </w:tcPr>
                <w:p>
                  <w:pPr>
                    <w:adjustRightInd w:val="0"/>
                    <w:snapToGrid w:val="0"/>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Merge w:val="continue"/>
                  <w:tcBorders>
                    <w:left w:val="nil"/>
                    <w:bottom w:val="single" w:color="auto" w:sz="12" w:space="0"/>
                    <w:right w:val="single" w:color="auto" w:sz="4" w:space="0"/>
                  </w:tcBorders>
                  <w:noWrap w:val="0"/>
                  <w:vAlign w:val="center"/>
                </w:tcPr>
                <w:p>
                  <w:pPr>
                    <w:adjustRightInd w:val="0"/>
                    <w:snapToGrid w:val="0"/>
                    <w:jc w:val="center"/>
                    <w:rPr>
                      <w:sz w:val="18"/>
                      <w:szCs w:val="18"/>
                    </w:rPr>
                  </w:pPr>
                </w:p>
              </w:tc>
              <w:tc>
                <w:tcPr>
                  <w:tcW w:w="464" w:type="pct"/>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sz w:val="18"/>
                      <w:szCs w:val="18"/>
                    </w:rPr>
                  </w:pPr>
                  <w:r>
                    <w:rPr>
                      <w:sz w:val="18"/>
                      <w:szCs w:val="18"/>
                    </w:rPr>
                    <w:t>TN</w:t>
                  </w:r>
                </w:p>
              </w:tc>
              <w:tc>
                <w:tcPr>
                  <w:tcW w:w="407" w:type="pct"/>
                  <w:vMerge w:val="continue"/>
                  <w:tcBorders>
                    <w:left w:val="single" w:color="000000" w:sz="4" w:space="0"/>
                    <w:bottom w:val="single" w:color="auto" w:sz="12" w:space="0"/>
                    <w:right w:val="single" w:color="auto" w:sz="4" w:space="0"/>
                  </w:tcBorders>
                  <w:noWrap w:val="0"/>
                  <w:vAlign w:val="center"/>
                </w:tcPr>
                <w:p>
                  <w:pPr>
                    <w:adjustRightInd w:val="0"/>
                    <w:snapToGrid w:val="0"/>
                    <w:jc w:val="center"/>
                    <w:rPr>
                      <w:kern w:val="0"/>
                      <w:sz w:val="18"/>
                      <w:szCs w:val="18"/>
                    </w:rPr>
                  </w:pPr>
                </w:p>
              </w:tc>
              <w:tc>
                <w:tcPr>
                  <w:tcW w:w="443" w:type="pct"/>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25</w:t>
                  </w:r>
                </w:p>
              </w:tc>
              <w:tc>
                <w:tcPr>
                  <w:tcW w:w="557" w:type="pct"/>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0.0095</w:t>
                  </w:r>
                </w:p>
              </w:tc>
              <w:tc>
                <w:tcPr>
                  <w:tcW w:w="357" w:type="pct"/>
                  <w:vMerge w:val="continue"/>
                  <w:tcBorders>
                    <w:left w:val="single" w:color="auto" w:sz="4" w:space="0"/>
                    <w:bottom w:val="single" w:color="auto" w:sz="12" w:space="0"/>
                    <w:right w:val="single" w:color="auto" w:sz="4" w:space="0"/>
                  </w:tcBorders>
                  <w:noWrap w:val="0"/>
                  <w:vAlign w:val="center"/>
                </w:tcPr>
                <w:p>
                  <w:pPr>
                    <w:widowControl/>
                    <w:adjustRightInd w:val="0"/>
                    <w:snapToGrid w:val="0"/>
                    <w:jc w:val="center"/>
                    <w:rPr>
                      <w:sz w:val="18"/>
                      <w:szCs w:val="18"/>
                    </w:rPr>
                  </w:pPr>
                </w:p>
              </w:tc>
              <w:tc>
                <w:tcPr>
                  <w:tcW w:w="371" w:type="pct"/>
                  <w:tcBorders>
                    <w:top w:val="single" w:color="auto" w:sz="4" w:space="0"/>
                    <w:left w:val="single" w:color="auto" w:sz="4" w:space="0"/>
                    <w:bottom w:val="single" w:color="auto" w:sz="12" w:space="0"/>
                    <w:right w:val="single" w:color="auto" w:sz="4" w:space="0"/>
                  </w:tcBorders>
                  <w:noWrap w:val="0"/>
                  <w:vAlign w:val="center"/>
                </w:tcPr>
                <w:p>
                  <w:pPr>
                    <w:pStyle w:val="48"/>
                    <w:adjustRightInd w:val="0"/>
                    <w:snapToGrid w:val="0"/>
                    <w:rPr>
                      <w:rFonts w:eastAsia="宋体"/>
                      <w:sz w:val="18"/>
                      <w:szCs w:val="18"/>
                    </w:rPr>
                  </w:pPr>
                  <w:r>
                    <w:rPr>
                      <w:rFonts w:hint="eastAsia" w:eastAsia="宋体"/>
                      <w:sz w:val="18"/>
                      <w:szCs w:val="18"/>
                    </w:rPr>
                    <w:t>76</w:t>
                  </w:r>
                </w:p>
              </w:tc>
              <w:tc>
                <w:tcPr>
                  <w:tcW w:w="353" w:type="pct"/>
                  <w:vMerge w:val="continue"/>
                  <w:tcBorders>
                    <w:left w:val="single" w:color="auto" w:sz="4" w:space="0"/>
                    <w:bottom w:val="single" w:color="auto" w:sz="12" w:space="0"/>
                    <w:right w:val="single" w:color="000000" w:sz="4" w:space="0"/>
                  </w:tcBorders>
                  <w:noWrap w:val="0"/>
                  <w:vAlign w:val="center"/>
                </w:tcPr>
                <w:p>
                  <w:pPr>
                    <w:adjustRightInd w:val="0"/>
                    <w:snapToGrid w:val="0"/>
                    <w:jc w:val="center"/>
                    <w:rPr>
                      <w:kern w:val="0"/>
                      <w:sz w:val="18"/>
                      <w:szCs w:val="18"/>
                    </w:rPr>
                  </w:pPr>
                </w:p>
              </w:tc>
              <w:tc>
                <w:tcPr>
                  <w:tcW w:w="433" w:type="pct"/>
                  <w:vMerge w:val="continue"/>
                  <w:tcBorders>
                    <w:left w:val="single" w:color="000000" w:sz="4" w:space="0"/>
                    <w:bottom w:val="single" w:color="auto" w:sz="12" w:space="0"/>
                    <w:right w:val="single" w:color="auto" w:sz="4" w:space="0"/>
                  </w:tcBorders>
                  <w:noWrap w:val="0"/>
                  <w:vAlign w:val="center"/>
                </w:tcPr>
                <w:p>
                  <w:pPr>
                    <w:adjustRightInd w:val="0"/>
                    <w:snapToGrid w:val="0"/>
                    <w:jc w:val="center"/>
                    <w:rPr>
                      <w:kern w:val="0"/>
                      <w:sz w:val="18"/>
                      <w:szCs w:val="18"/>
                    </w:rPr>
                  </w:pPr>
                </w:p>
              </w:tc>
              <w:tc>
                <w:tcPr>
                  <w:tcW w:w="400" w:type="pct"/>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sz w:val="18"/>
                      <w:szCs w:val="18"/>
                    </w:rPr>
                  </w:pPr>
                  <w:r>
                    <w:rPr>
                      <w:rFonts w:hint="eastAsia"/>
                      <w:sz w:val="18"/>
                      <w:szCs w:val="18"/>
                    </w:rPr>
                    <w:t>12</w:t>
                  </w:r>
                </w:p>
              </w:tc>
              <w:tc>
                <w:tcPr>
                  <w:tcW w:w="536" w:type="pct"/>
                  <w:tcBorders>
                    <w:top w:val="single" w:color="auto" w:sz="4" w:space="0"/>
                    <w:left w:val="single" w:color="auto" w:sz="4" w:space="0"/>
                    <w:bottom w:val="single" w:color="auto" w:sz="12" w:space="0"/>
                    <w:right w:val="single" w:color="auto" w:sz="4" w:space="0"/>
                  </w:tcBorders>
                  <w:noWrap w:val="0"/>
                  <w:vAlign w:val="center"/>
                </w:tcPr>
                <w:p>
                  <w:pPr>
                    <w:widowControl/>
                    <w:jc w:val="center"/>
                    <w:textAlignment w:val="center"/>
                    <w:rPr>
                      <w:rFonts w:hint="default" w:eastAsia="宋体"/>
                      <w:sz w:val="18"/>
                      <w:szCs w:val="18"/>
                      <w:lang w:val="en-US" w:eastAsia="zh-CN"/>
                    </w:rPr>
                  </w:pPr>
                  <w:r>
                    <w:rPr>
                      <w:rFonts w:hint="eastAsia"/>
                      <w:sz w:val="18"/>
                      <w:szCs w:val="18"/>
                    </w:rPr>
                    <w:t>0.00</w:t>
                  </w:r>
                  <w:r>
                    <w:rPr>
                      <w:rFonts w:hint="eastAsia"/>
                      <w:sz w:val="18"/>
                      <w:szCs w:val="18"/>
                      <w:lang w:val="en-US" w:eastAsia="zh-CN"/>
                    </w:rPr>
                    <w:t>46</w:t>
                  </w:r>
                </w:p>
              </w:tc>
              <w:tc>
                <w:tcPr>
                  <w:tcW w:w="336" w:type="pct"/>
                  <w:vMerge w:val="continue"/>
                  <w:tcBorders>
                    <w:left w:val="single" w:color="auto" w:sz="4" w:space="0"/>
                    <w:bottom w:val="single" w:color="auto" w:sz="12" w:space="0"/>
                    <w:right w:val="nil"/>
                  </w:tcBorders>
                  <w:noWrap w:val="0"/>
                  <w:vAlign w:val="center"/>
                </w:tcPr>
                <w:p>
                  <w:pPr>
                    <w:adjustRightInd w:val="0"/>
                    <w:snapToGrid w:val="0"/>
                    <w:jc w:val="center"/>
                    <w:rPr>
                      <w:sz w:val="18"/>
                      <w:szCs w:val="18"/>
                    </w:rPr>
                  </w:pPr>
                </w:p>
              </w:tc>
            </w:tr>
          </w:tbl>
          <w:p>
            <w:pPr>
              <w:pStyle w:val="8"/>
              <w:numPr>
                <w:ilvl w:val="0"/>
                <w:numId w:val="0"/>
              </w:numPr>
              <w:adjustRightInd w:val="0"/>
              <w:snapToGrid w:val="0"/>
              <w:spacing w:before="120" w:beforeLines="50" w:line="360" w:lineRule="auto"/>
              <w:ind w:leftChars="0" w:firstLine="482" w:firstLineChars="200"/>
              <w:rPr>
                <w:rFonts w:hint="eastAsia" w:ascii="Times New Roman" w:hAnsi="Times New Roman" w:eastAsia="宋体"/>
                <w:b/>
                <w:bCs/>
              </w:rPr>
            </w:pPr>
            <w:r>
              <w:rPr>
                <w:rFonts w:hint="eastAsia" w:ascii="Times New Roman" w:hAnsi="Times New Roman" w:eastAsia="宋体"/>
                <w:b/>
                <w:bCs/>
                <w:lang w:eastAsia="zh-CN"/>
              </w:rPr>
              <w:t>（</w:t>
            </w:r>
            <w:r>
              <w:rPr>
                <w:rFonts w:hint="eastAsia" w:ascii="Times New Roman" w:hAnsi="Times New Roman" w:eastAsia="宋体"/>
                <w:b/>
                <w:bCs/>
                <w:lang w:val="en-US" w:eastAsia="zh-CN"/>
              </w:rPr>
              <w:t>2</w:t>
            </w:r>
            <w:r>
              <w:rPr>
                <w:rFonts w:hint="eastAsia" w:ascii="Times New Roman" w:hAnsi="Times New Roman" w:eastAsia="宋体"/>
                <w:b/>
                <w:bCs/>
                <w:lang w:eastAsia="zh-CN"/>
              </w:rPr>
              <w:t>）</w:t>
            </w:r>
            <w:r>
              <w:rPr>
                <w:rFonts w:hint="eastAsia" w:ascii="Times New Roman" w:hAnsi="Times New Roman" w:eastAsia="宋体"/>
                <w:b/>
                <w:bCs/>
              </w:rPr>
              <w:t>排放口基本情况</w:t>
            </w:r>
          </w:p>
          <w:p>
            <w:pPr>
              <w:jc w:val="center"/>
            </w:pPr>
            <w:r>
              <w:rPr>
                <w:rFonts w:hint="eastAsia"/>
                <w:b/>
                <w:bCs/>
                <w:sz w:val="24"/>
              </w:rPr>
              <w:t>表4-</w:t>
            </w:r>
            <w:r>
              <w:rPr>
                <w:rFonts w:hint="eastAsia"/>
                <w:b/>
                <w:bCs/>
                <w:sz w:val="24"/>
                <w:lang w:val="en-US" w:eastAsia="zh-CN"/>
              </w:rPr>
              <w:t>3</w:t>
            </w:r>
            <w:r>
              <w:rPr>
                <w:rFonts w:hint="eastAsia"/>
                <w:b/>
                <w:bCs/>
                <w:sz w:val="24"/>
              </w:rPr>
              <w:t xml:space="preserve">  废水类别、污染物及污染治理设施信息表</w:t>
            </w:r>
          </w:p>
          <w:tbl>
            <w:tblPr>
              <w:tblStyle w:val="23"/>
              <w:tblpPr w:leftFromText="180" w:rightFromText="180" w:vertAnchor="text" w:horzAnchor="page" w:tblpX="108" w:tblpY="297"/>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397"/>
              <w:gridCol w:w="693"/>
              <w:gridCol w:w="627"/>
              <w:gridCol w:w="397"/>
              <w:gridCol w:w="439"/>
              <w:gridCol w:w="576"/>
              <w:gridCol w:w="845"/>
              <w:gridCol w:w="1229"/>
              <w:gridCol w:w="662"/>
              <w:gridCol w:w="1074"/>
              <w:gridCol w:w="487"/>
              <w:gridCol w:w="5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tcBorders>
                    <w:tl2br w:val="nil"/>
                    <w:tr2bl w:val="nil"/>
                  </w:tcBorders>
                  <w:noWrap w:val="0"/>
                  <w:vAlign w:val="center"/>
                </w:tcPr>
                <w:p>
                  <w:pPr>
                    <w:pStyle w:val="56"/>
                    <w:rPr>
                      <w:b/>
                      <w:sz w:val="18"/>
                      <w:szCs w:val="24"/>
                    </w:rPr>
                  </w:pPr>
                  <w:r>
                    <w:rPr>
                      <w:b/>
                      <w:sz w:val="18"/>
                      <w:szCs w:val="24"/>
                    </w:rPr>
                    <w:t>序号</w:t>
                  </w:r>
                </w:p>
              </w:tc>
              <w:tc>
                <w:tcPr>
                  <w:tcW w:w="236" w:type="pct"/>
                  <w:tcBorders>
                    <w:tl2br w:val="nil"/>
                    <w:tr2bl w:val="nil"/>
                  </w:tcBorders>
                  <w:noWrap w:val="0"/>
                  <w:vAlign w:val="center"/>
                </w:tcPr>
                <w:p>
                  <w:pPr>
                    <w:pStyle w:val="56"/>
                    <w:rPr>
                      <w:b/>
                      <w:sz w:val="18"/>
                      <w:szCs w:val="24"/>
                    </w:rPr>
                  </w:pPr>
                  <w:r>
                    <w:rPr>
                      <w:b/>
                      <w:sz w:val="18"/>
                      <w:szCs w:val="24"/>
                    </w:rPr>
                    <w:t>废水类别</w:t>
                  </w:r>
                </w:p>
              </w:tc>
              <w:tc>
                <w:tcPr>
                  <w:tcW w:w="422" w:type="pct"/>
                  <w:tcBorders>
                    <w:tl2br w:val="nil"/>
                    <w:tr2bl w:val="nil"/>
                  </w:tcBorders>
                  <w:noWrap w:val="0"/>
                  <w:vAlign w:val="center"/>
                </w:tcPr>
                <w:p>
                  <w:pPr>
                    <w:pStyle w:val="56"/>
                    <w:rPr>
                      <w:b/>
                      <w:color w:val="auto"/>
                      <w:sz w:val="18"/>
                      <w:szCs w:val="24"/>
                    </w:rPr>
                  </w:pPr>
                  <w:r>
                    <w:rPr>
                      <w:b/>
                      <w:color w:val="auto"/>
                      <w:sz w:val="18"/>
                      <w:szCs w:val="24"/>
                    </w:rPr>
                    <w:t>污染物种类</w:t>
                  </w:r>
                </w:p>
              </w:tc>
              <w:tc>
                <w:tcPr>
                  <w:tcW w:w="307" w:type="pct"/>
                  <w:tcBorders>
                    <w:tl2br w:val="nil"/>
                    <w:tr2bl w:val="nil"/>
                  </w:tcBorders>
                  <w:noWrap w:val="0"/>
                  <w:vAlign w:val="center"/>
                </w:tcPr>
                <w:p>
                  <w:pPr>
                    <w:pStyle w:val="56"/>
                    <w:rPr>
                      <w:rFonts w:hint="default"/>
                      <w:b/>
                      <w:color w:val="auto"/>
                      <w:sz w:val="18"/>
                      <w:szCs w:val="24"/>
                      <w:lang w:val="en-US"/>
                    </w:rPr>
                  </w:pPr>
                  <w:r>
                    <w:rPr>
                      <w:b/>
                      <w:color w:val="auto"/>
                      <w:sz w:val="18"/>
                      <w:szCs w:val="24"/>
                    </w:rPr>
                    <w:t>排放浓度</w:t>
                  </w:r>
                  <w:r>
                    <w:rPr>
                      <w:rFonts w:hint="eastAsia"/>
                      <w:b/>
                      <w:color w:val="auto"/>
                      <w:sz w:val="18"/>
                      <w:szCs w:val="24"/>
                      <w:lang w:val="en-US" w:eastAsia="zh-CN"/>
                    </w:rPr>
                    <w:t>mg/L</w:t>
                  </w:r>
                </w:p>
              </w:tc>
              <w:tc>
                <w:tcPr>
                  <w:tcW w:w="236" w:type="pct"/>
                  <w:tcBorders>
                    <w:tl2br w:val="nil"/>
                    <w:tr2bl w:val="nil"/>
                  </w:tcBorders>
                  <w:noWrap w:val="0"/>
                  <w:vAlign w:val="center"/>
                </w:tcPr>
                <w:p>
                  <w:pPr>
                    <w:pStyle w:val="56"/>
                    <w:rPr>
                      <w:b/>
                      <w:color w:val="auto"/>
                      <w:sz w:val="18"/>
                      <w:szCs w:val="24"/>
                    </w:rPr>
                  </w:pPr>
                  <w:r>
                    <w:rPr>
                      <w:b/>
                      <w:color w:val="auto"/>
                      <w:sz w:val="18"/>
                      <w:szCs w:val="24"/>
                    </w:rPr>
                    <w:t>排放方式</w:t>
                  </w:r>
                </w:p>
              </w:tc>
              <w:tc>
                <w:tcPr>
                  <w:tcW w:w="271" w:type="pct"/>
                  <w:tcBorders>
                    <w:tl2br w:val="nil"/>
                    <w:tr2bl w:val="nil"/>
                  </w:tcBorders>
                  <w:noWrap w:val="0"/>
                  <w:vAlign w:val="center"/>
                </w:tcPr>
                <w:p>
                  <w:pPr>
                    <w:pStyle w:val="56"/>
                    <w:rPr>
                      <w:color w:val="auto"/>
                      <w:sz w:val="18"/>
                      <w:szCs w:val="24"/>
                    </w:rPr>
                  </w:pPr>
                  <w:r>
                    <w:rPr>
                      <w:b/>
                      <w:color w:val="auto"/>
                      <w:sz w:val="18"/>
                      <w:szCs w:val="24"/>
                    </w:rPr>
                    <w:t>排放去向</w:t>
                  </w:r>
                </w:p>
              </w:tc>
              <w:tc>
                <w:tcPr>
                  <w:tcW w:w="343" w:type="pct"/>
                  <w:tcBorders>
                    <w:tl2br w:val="nil"/>
                    <w:tr2bl w:val="nil"/>
                  </w:tcBorders>
                  <w:noWrap w:val="0"/>
                  <w:vAlign w:val="center"/>
                </w:tcPr>
                <w:p>
                  <w:pPr>
                    <w:pStyle w:val="56"/>
                    <w:rPr>
                      <w:b/>
                      <w:color w:val="auto"/>
                      <w:sz w:val="18"/>
                      <w:szCs w:val="24"/>
                    </w:rPr>
                  </w:pPr>
                  <w:r>
                    <w:rPr>
                      <w:b/>
                      <w:color w:val="auto"/>
                      <w:sz w:val="18"/>
                      <w:szCs w:val="24"/>
                    </w:rPr>
                    <w:t>排放规律</w:t>
                  </w:r>
                </w:p>
              </w:tc>
              <w:tc>
                <w:tcPr>
                  <w:tcW w:w="513" w:type="pct"/>
                  <w:tcBorders>
                    <w:tl2br w:val="nil"/>
                    <w:tr2bl w:val="nil"/>
                  </w:tcBorders>
                  <w:noWrap w:val="0"/>
                  <w:vAlign w:val="center"/>
                </w:tcPr>
                <w:p>
                  <w:pPr>
                    <w:pStyle w:val="56"/>
                    <w:rPr>
                      <w:b/>
                      <w:color w:val="auto"/>
                      <w:sz w:val="18"/>
                      <w:szCs w:val="24"/>
                    </w:rPr>
                  </w:pPr>
                  <w:r>
                    <w:rPr>
                      <w:b/>
                      <w:color w:val="auto"/>
                      <w:sz w:val="18"/>
                      <w:szCs w:val="24"/>
                    </w:rPr>
                    <w:t>排放口编号</w:t>
                  </w:r>
                </w:p>
              </w:tc>
              <w:tc>
                <w:tcPr>
                  <w:tcW w:w="742" w:type="pct"/>
                  <w:tcBorders>
                    <w:tl2br w:val="nil"/>
                    <w:tr2bl w:val="nil"/>
                  </w:tcBorders>
                  <w:noWrap w:val="0"/>
                  <w:vAlign w:val="center"/>
                </w:tcPr>
                <w:p>
                  <w:pPr>
                    <w:pStyle w:val="56"/>
                    <w:rPr>
                      <w:b/>
                      <w:color w:val="auto"/>
                      <w:sz w:val="18"/>
                      <w:szCs w:val="24"/>
                    </w:rPr>
                  </w:pPr>
                  <w:r>
                    <w:rPr>
                      <w:b/>
                      <w:color w:val="auto"/>
                      <w:sz w:val="18"/>
                      <w:szCs w:val="24"/>
                    </w:rPr>
                    <w:t>排放口坐标</w:t>
                  </w:r>
                </w:p>
              </w:tc>
              <w:tc>
                <w:tcPr>
                  <w:tcW w:w="403" w:type="pct"/>
                  <w:tcBorders>
                    <w:tl2br w:val="nil"/>
                    <w:tr2bl w:val="nil"/>
                  </w:tcBorders>
                  <w:noWrap w:val="0"/>
                  <w:vAlign w:val="center"/>
                </w:tcPr>
                <w:p>
                  <w:pPr>
                    <w:pStyle w:val="56"/>
                    <w:rPr>
                      <w:b/>
                      <w:color w:val="auto"/>
                      <w:sz w:val="18"/>
                      <w:szCs w:val="24"/>
                    </w:rPr>
                  </w:pPr>
                  <w:r>
                    <w:rPr>
                      <w:b/>
                      <w:color w:val="auto"/>
                      <w:sz w:val="18"/>
                      <w:szCs w:val="24"/>
                    </w:rPr>
                    <w:t>排放口设置是否符合要求</w:t>
                  </w:r>
                </w:p>
              </w:tc>
              <w:tc>
                <w:tcPr>
                  <w:tcW w:w="649" w:type="pct"/>
                  <w:tcBorders>
                    <w:tl2br w:val="nil"/>
                    <w:tr2bl w:val="nil"/>
                  </w:tcBorders>
                  <w:noWrap w:val="0"/>
                  <w:vAlign w:val="center"/>
                </w:tcPr>
                <w:p>
                  <w:pPr>
                    <w:pStyle w:val="56"/>
                    <w:rPr>
                      <w:color w:val="auto"/>
                      <w:sz w:val="18"/>
                      <w:szCs w:val="24"/>
                    </w:rPr>
                  </w:pPr>
                  <w:r>
                    <w:rPr>
                      <w:b/>
                      <w:color w:val="auto"/>
                      <w:sz w:val="18"/>
                      <w:szCs w:val="24"/>
                    </w:rPr>
                    <w:t>排放口类型</w:t>
                  </w:r>
                </w:p>
              </w:tc>
              <w:tc>
                <w:tcPr>
                  <w:tcW w:w="637" w:type="pct"/>
                  <w:gridSpan w:val="2"/>
                  <w:tcBorders>
                    <w:tl2br w:val="nil"/>
                    <w:tr2bl w:val="nil"/>
                  </w:tcBorders>
                  <w:noWrap w:val="0"/>
                  <w:vAlign w:val="center"/>
                </w:tcPr>
                <w:p>
                  <w:pPr>
                    <w:pStyle w:val="56"/>
                    <w:rPr>
                      <w:rFonts w:hint="default" w:eastAsia="宋体"/>
                      <w:b/>
                      <w:color w:val="auto"/>
                      <w:sz w:val="18"/>
                      <w:szCs w:val="24"/>
                      <w:lang w:val="en-US" w:eastAsia="zh-CN"/>
                    </w:rPr>
                  </w:pPr>
                  <w:r>
                    <w:rPr>
                      <w:b/>
                      <w:color w:val="auto"/>
                      <w:sz w:val="18"/>
                      <w:szCs w:val="24"/>
                    </w:rPr>
                    <w:t>排放标准</w:t>
                  </w:r>
                  <w:r>
                    <w:rPr>
                      <w:rFonts w:hint="eastAsia"/>
                      <w:b/>
                      <w:color w:val="auto"/>
                      <w:sz w:val="18"/>
                      <w:szCs w:val="24"/>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Merge w:val="restart"/>
                  <w:tcBorders>
                    <w:tl2br w:val="nil"/>
                    <w:tr2bl w:val="nil"/>
                  </w:tcBorders>
                  <w:noWrap w:val="0"/>
                  <w:vAlign w:val="center"/>
                </w:tcPr>
                <w:p>
                  <w:pPr>
                    <w:pStyle w:val="59"/>
                    <w:adjustRightInd w:val="0"/>
                    <w:snapToGrid w:val="0"/>
                    <w:spacing w:line="240" w:lineRule="auto"/>
                    <w:ind w:firstLine="0" w:firstLineChars="0"/>
                    <w:jc w:val="center"/>
                    <w:rPr>
                      <w:sz w:val="18"/>
                    </w:rPr>
                  </w:pPr>
                  <w:r>
                    <w:rPr>
                      <w:sz w:val="18"/>
                    </w:rPr>
                    <w:t>1</w:t>
                  </w:r>
                </w:p>
              </w:tc>
              <w:tc>
                <w:tcPr>
                  <w:tcW w:w="236" w:type="pct"/>
                  <w:vMerge w:val="restart"/>
                  <w:tcBorders>
                    <w:tl2br w:val="nil"/>
                    <w:tr2bl w:val="nil"/>
                  </w:tcBorders>
                  <w:noWrap w:val="0"/>
                  <w:vAlign w:val="center"/>
                </w:tcPr>
                <w:p>
                  <w:pPr>
                    <w:pStyle w:val="59"/>
                    <w:adjustRightInd w:val="0"/>
                    <w:snapToGrid w:val="0"/>
                    <w:spacing w:line="240" w:lineRule="auto"/>
                    <w:ind w:firstLine="0" w:firstLineChars="0"/>
                    <w:jc w:val="center"/>
                    <w:rPr>
                      <w:sz w:val="18"/>
                    </w:rPr>
                  </w:pPr>
                  <w:r>
                    <w:rPr>
                      <w:sz w:val="18"/>
                    </w:rPr>
                    <w:t>生活污水</w:t>
                  </w:r>
                </w:p>
              </w:tc>
              <w:tc>
                <w:tcPr>
                  <w:tcW w:w="422" w:type="pct"/>
                  <w:tcBorders>
                    <w:tl2br w:val="nil"/>
                    <w:tr2bl w:val="nil"/>
                  </w:tcBorders>
                  <w:noWrap w:val="0"/>
                  <w:vAlign w:val="center"/>
                </w:tcPr>
                <w:p>
                  <w:pPr>
                    <w:pStyle w:val="59"/>
                    <w:adjustRightInd w:val="0"/>
                    <w:snapToGrid w:val="0"/>
                    <w:spacing w:line="240" w:lineRule="auto"/>
                    <w:ind w:firstLine="0" w:firstLineChars="0"/>
                    <w:jc w:val="center"/>
                    <w:rPr>
                      <w:sz w:val="18"/>
                    </w:rPr>
                  </w:pPr>
                  <w:r>
                    <w:rPr>
                      <w:sz w:val="18"/>
                      <w:szCs w:val="21"/>
                    </w:rPr>
                    <w:t>COD</w:t>
                  </w:r>
                </w:p>
              </w:tc>
              <w:tc>
                <w:tcPr>
                  <w:tcW w:w="510" w:type="dxa"/>
                  <w:tcBorders>
                    <w:tl2br w:val="nil"/>
                    <w:tr2bl w:val="nil"/>
                  </w:tcBorders>
                  <w:noWrap w:val="0"/>
                  <w:vAlign w:val="center"/>
                </w:tcPr>
                <w:p>
                  <w:pPr>
                    <w:adjustRightInd w:val="0"/>
                    <w:snapToGrid w:val="0"/>
                    <w:jc w:val="center"/>
                    <w:rPr>
                      <w:sz w:val="18"/>
                    </w:rPr>
                  </w:pPr>
                  <w:r>
                    <w:rPr>
                      <w:rFonts w:hint="eastAsia"/>
                      <w:sz w:val="18"/>
                      <w:szCs w:val="18"/>
                      <w:lang w:val="en-US" w:eastAsia="zh-CN"/>
                    </w:rPr>
                    <w:t>380</w:t>
                  </w:r>
                </w:p>
              </w:tc>
              <w:tc>
                <w:tcPr>
                  <w:tcW w:w="236" w:type="pct"/>
                  <w:vMerge w:val="restart"/>
                  <w:tcBorders>
                    <w:tl2br w:val="nil"/>
                    <w:tr2bl w:val="nil"/>
                  </w:tcBorders>
                  <w:noWrap w:val="0"/>
                  <w:vAlign w:val="center"/>
                </w:tcPr>
                <w:p>
                  <w:pPr>
                    <w:pStyle w:val="59"/>
                    <w:adjustRightInd w:val="0"/>
                    <w:snapToGrid w:val="0"/>
                    <w:spacing w:line="240" w:lineRule="auto"/>
                    <w:ind w:firstLine="0" w:firstLineChars="0"/>
                    <w:jc w:val="center"/>
                    <w:rPr>
                      <w:sz w:val="18"/>
                    </w:rPr>
                  </w:pPr>
                  <w:r>
                    <w:rPr>
                      <w:rFonts w:hint="eastAsia"/>
                      <w:sz w:val="18"/>
                      <w:lang w:val="en-US" w:eastAsia="zh-CN"/>
                    </w:rPr>
                    <w:t>直</w:t>
                  </w:r>
                  <w:r>
                    <w:rPr>
                      <w:sz w:val="18"/>
                    </w:rPr>
                    <w:t>接排放</w:t>
                  </w:r>
                </w:p>
              </w:tc>
              <w:tc>
                <w:tcPr>
                  <w:tcW w:w="271" w:type="pct"/>
                  <w:vMerge w:val="restart"/>
                  <w:tcBorders>
                    <w:tl2br w:val="nil"/>
                    <w:tr2bl w:val="nil"/>
                  </w:tcBorders>
                  <w:noWrap w:val="0"/>
                  <w:vAlign w:val="center"/>
                </w:tcPr>
                <w:p>
                  <w:pPr>
                    <w:pStyle w:val="59"/>
                    <w:adjustRightInd w:val="0"/>
                    <w:snapToGrid w:val="0"/>
                    <w:spacing w:line="240" w:lineRule="auto"/>
                    <w:ind w:firstLine="0" w:firstLineChars="0"/>
                    <w:jc w:val="center"/>
                    <w:rPr>
                      <w:sz w:val="18"/>
                    </w:rPr>
                  </w:pPr>
                  <w:r>
                    <w:rPr>
                      <w:sz w:val="18"/>
                    </w:rPr>
                    <w:t>排放至金坛</w:t>
                  </w:r>
                  <w:r>
                    <w:rPr>
                      <w:rFonts w:hint="eastAsia"/>
                      <w:sz w:val="18"/>
                    </w:rPr>
                    <w:t>区</w:t>
                  </w:r>
                  <w:r>
                    <w:rPr>
                      <w:sz w:val="18"/>
                    </w:rPr>
                    <w:t>第二污水处理厂</w:t>
                  </w:r>
                </w:p>
              </w:tc>
              <w:tc>
                <w:tcPr>
                  <w:tcW w:w="343" w:type="pct"/>
                  <w:vMerge w:val="restart"/>
                  <w:tcBorders>
                    <w:tl2br w:val="nil"/>
                    <w:tr2bl w:val="nil"/>
                  </w:tcBorders>
                  <w:noWrap w:val="0"/>
                  <w:vAlign w:val="center"/>
                </w:tcPr>
                <w:p>
                  <w:pPr>
                    <w:pStyle w:val="59"/>
                    <w:adjustRightInd w:val="0"/>
                    <w:snapToGrid w:val="0"/>
                    <w:spacing w:line="240" w:lineRule="auto"/>
                    <w:ind w:firstLine="0" w:firstLineChars="0"/>
                    <w:jc w:val="center"/>
                    <w:rPr>
                      <w:sz w:val="18"/>
                    </w:rPr>
                  </w:pPr>
                  <w:r>
                    <w:rPr>
                      <w:rFonts w:hint="eastAsia"/>
                      <w:sz w:val="18"/>
                    </w:rPr>
                    <w:t>间断</w:t>
                  </w:r>
                  <w:r>
                    <w:rPr>
                      <w:sz w:val="18"/>
                    </w:rPr>
                    <w:t>排放，流量不稳定</w:t>
                  </w:r>
                </w:p>
              </w:tc>
              <w:tc>
                <w:tcPr>
                  <w:tcW w:w="513" w:type="pct"/>
                  <w:vMerge w:val="restart"/>
                  <w:tcBorders>
                    <w:tl2br w:val="nil"/>
                    <w:tr2bl w:val="nil"/>
                  </w:tcBorders>
                  <w:noWrap w:val="0"/>
                  <w:vAlign w:val="center"/>
                </w:tcPr>
                <w:p>
                  <w:pPr>
                    <w:pStyle w:val="59"/>
                    <w:adjustRightInd w:val="0"/>
                    <w:snapToGrid w:val="0"/>
                    <w:spacing w:line="240" w:lineRule="auto"/>
                    <w:ind w:firstLine="0" w:firstLineChars="0"/>
                    <w:jc w:val="center"/>
                    <w:rPr>
                      <w:sz w:val="18"/>
                    </w:rPr>
                  </w:pPr>
                  <w:r>
                    <w:rPr>
                      <w:sz w:val="18"/>
                    </w:rPr>
                    <w:t>DW001</w:t>
                  </w:r>
                </w:p>
              </w:tc>
              <w:tc>
                <w:tcPr>
                  <w:tcW w:w="742" w:type="pct"/>
                  <w:vMerge w:val="restart"/>
                  <w:tcBorders>
                    <w:tl2br w:val="nil"/>
                    <w:tr2bl w:val="nil"/>
                  </w:tcBorders>
                  <w:noWrap w:val="0"/>
                  <w:vAlign w:val="center"/>
                </w:tcPr>
                <w:p>
                  <w:pPr>
                    <w:pStyle w:val="59"/>
                    <w:adjustRightInd w:val="0"/>
                    <w:snapToGrid w:val="0"/>
                    <w:spacing w:line="240" w:lineRule="auto"/>
                    <w:ind w:firstLine="0" w:firstLineChars="0"/>
                    <w:jc w:val="both"/>
                    <w:rPr>
                      <w:sz w:val="18"/>
                      <w:szCs w:val="20"/>
                    </w:rPr>
                  </w:pPr>
                  <w:r>
                    <w:rPr>
                      <w:rFonts w:hint="eastAsia"/>
                      <w:sz w:val="18"/>
                      <w:szCs w:val="20"/>
                    </w:rPr>
                    <w:t>E119.645579</w:t>
                  </w:r>
                </w:p>
                <w:p>
                  <w:pPr>
                    <w:pStyle w:val="59"/>
                    <w:adjustRightInd w:val="0"/>
                    <w:snapToGrid w:val="0"/>
                    <w:spacing w:line="240" w:lineRule="auto"/>
                    <w:ind w:firstLine="0" w:firstLineChars="0"/>
                    <w:jc w:val="both"/>
                    <w:rPr>
                      <w:sz w:val="18"/>
                      <w:szCs w:val="20"/>
                    </w:rPr>
                  </w:pPr>
                  <w:r>
                    <w:rPr>
                      <w:rFonts w:hint="eastAsia"/>
                      <w:sz w:val="18"/>
                      <w:szCs w:val="20"/>
                    </w:rPr>
                    <w:t>N31.750157</w:t>
                  </w:r>
                </w:p>
              </w:tc>
              <w:tc>
                <w:tcPr>
                  <w:tcW w:w="403" w:type="pct"/>
                  <w:vMerge w:val="restart"/>
                  <w:tcBorders>
                    <w:tl2br w:val="nil"/>
                    <w:tr2bl w:val="nil"/>
                  </w:tcBorders>
                  <w:noWrap w:val="0"/>
                  <w:vAlign w:val="center"/>
                </w:tcPr>
                <w:p>
                  <w:pPr>
                    <w:pStyle w:val="59"/>
                    <w:adjustRightInd w:val="0"/>
                    <w:snapToGrid w:val="0"/>
                    <w:spacing w:line="240" w:lineRule="auto"/>
                    <w:ind w:firstLine="0" w:firstLineChars="0"/>
                    <w:jc w:val="center"/>
                    <w:rPr>
                      <w:sz w:val="18"/>
                      <w:szCs w:val="20"/>
                    </w:rPr>
                  </w:pPr>
                  <w:r>
                    <w:rPr>
                      <w:sz w:val="18"/>
                      <w:szCs w:val="20"/>
                    </w:rPr>
                    <w:t>是√</w:t>
                  </w:r>
                </w:p>
                <w:p>
                  <w:pPr>
                    <w:pStyle w:val="59"/>
                    <w:adjustRightInd w:val="0"/>
                    <w:snapToGrid w:val="0"/>
                    <w:spacing w:line="240" w:lineRule="auto"/>
                    <w:ind w:firstLine="0" w:firstLineChars="0"/>
                    <w:jc w:val="center"/>
                    <w:rPr>
                      <w:sz w:val="18"/>
                    </w:rPr>
                  </w:pPr>
                  <w:r>
                    <w:rPr>
                      <w:sz w:val="18"/>
                      <w:szCs w:val="20"/>
                    </w:rPr>
                    <w:t>否□</w:t>
                  </w:r>
                </w:p>
              </w:tc>
              <w:tc>
                <w:tcPr>
                  <w:tcW w:w="649" w:type="pct"/>
                  <w:vMerge w:val="restart"/>
                  <w:tcBorders>
                    <w:tl2br w:val="nil"/>
                    <w:tr2bl w:val="nil"/>
                  </w:tcBorders>
                  <w:noWrap w:val="0"/>
                  <w:vAlign w:val="center"/>
                </w:tcPr>
                <w:p>
                  <w:pPr>
                    <w:pStyle w:val="59"/>
                    <w:adjustRightInd w:val="0"/>
                    <w:snapToGrid w:val="0"/>
                    <w:spacing w:line="240" w:lineRule="auto"/>
                    <w:ind w:firstLine="0" w:firstLineChars="0"/>
                    <w:jc w:val="center"/>
                    <w:rPr>
                      <w:sz w:val="18"/>
                      <w:szCs w:val="20"/>
                    </w:rPr>
                  </w:pPr>
                  <w:r>
                    <w:rPr>
                      <w:sz w:val="18"/>
                      <w:szCs w:val="20"/>
                    </w:rPr>
                    <w:t>√企业总排</w:t>
                  </w:r>
                </w:p>
                <w:p>
                  <w:pPr>
                    <w:pStyle w:val="59"/>
                    <w:adjustRightInd w:val="0"/>
                    <w:snapToGrid w:val="0"/>
                    <w:spacing w:line="240" w:lineRule="auto"/>
                    <w:ind w:firstLine="0" w:firstLineChars="0"/>
                    <w:jc w:val="center"/>
                    <w:rPr>
                      <w:sz w:val="18"/>
                      <w:szCs w:val="20"/>
                    </w:rPr>
                  </w:pPr>
                  <w:r>
                    <w:rPr>
                      <w:sz w:val="18"/>
                      <w:szCs w:val="20"/>
                    </w:rPr>
                    <w:t>□雨水排放</w:t>
                  </w:r>
                </w:p>
                <w:p>
                  <w:pPr>
                    <w:pStyle w:val="59"/>
                    <w:adjustRightInd w:val="0"/>
                    <w:snapToGrid w:val="0"/>
                    <w:spacing w:line="240" w:lineRule="auto"/>
                    <w:ind w:firstLine="0" w:firstLineChars="0"/>
                    <w:jc w:val="center"/>
                    <w:rPr>
                      <w:sz w:val="18"/>
                      <w:szCs w:val="20"/>
                    </w:rPr>
                  </w:pPr>
                  <w:r>
                    <w:rPr>
                      <w:sz w:val="18"/>
                      <w:szCs w:val="20"/>
                    </w:rPr>
                    <w:t>□清净下水排放</w:t>
                  </w:r>
                </w:p>
                <w:p>
                  <w:pPr>
                    <w:pStyle w:val="59"/>
                    <w:adjustRightInd w:val="0"/>
                    <w:snapToGrid w:val="0"/>
                    <w:spacing w:line="240" w:lineRule="auto"/>
                    <w:ind w:firstLine="0" w:firstLineChars="0"/>
                    <w:jc w:val="center"/>
                    <w:rPr>
                      <w:sz w:val="18"/>
                      <w:szCs w:val="20"/>
                    </w:rPr>
                  </w:pPr>
                  <w:r>
                    <w:rPr>
                      <w:sz w:val="18"/>
                      <w:szCs w:val="20"/>
                    </w:rPr>
                    <w:t>□温排水排放</w:t>
                  </w:r>
                </w:p>
                <w:p>
                  <w:pPr>
                    <w:pStyle w:val="59"/>
                    <w:adjustRightInd w:val="0"/>
                    <w:snapToGrid w:val="0"/>
                    <w:spacing w:line="240" w:lineRule="auto"/>
                    <w:ind w:firstLine="0" w:firstLineChars="0"/>
                    <w:jc w:val="center"/>
                    <w:rPr>
                      <w:sz w:val="18"/>
                      <w:szCs w:val="20"/>
                    </w:rPr>
                  </w:pPr>
                  <w:r>
                    <w:rPr>
                      <w:sz w:val="18"/>
                      <w:szCs w:val="20"/>
                    </w:rPr>
                    <w:t>□车间或车间处理系统排放口</w:t>
                  </w:r>
                </w:p>
              </w:tc>
              <w:tc>
                <w:tcPr>
                  <w:tcW w:w="294" w:type="pct"/>
                  <w:tcBorders>
                    <w:tl2br w:val="nil"/>
                    <w:tr2bl w:val="nil"/>
                  </w:tcBorders>
                  <w:noWrap w:val="0"/>
                  <w:vAlign w:val="center"/>
                </w:tcPr>
                <w:p>
                  <w:pPr>
                    <w:pStyle w:val="59"/>
                    <w:adjustRightInd w:val="0"/>
                    <w:snapToGrid w:val="0"/>
                    <w:spacing w:line="240" w:lineRule="auto"/>
                    <w:ind w:firstLine="0" w:firstLineChars="0"/>
                    <w:jc w:val="center"/>
                    <w:rPr>
                      <w:sz w:val="18"/>
                      <w:szCs w:val="20"/>
                    </w:rPr>
                  </w:pPr>
                  <w:r>
                    <w:rPr>
                      <w:sz w:val="18"/>
                      <w:szCs w:val="20"/>
                    </w:rPr>
                    <w:t>500</w:t>
                  </w:r>
                </w:p>
              </w:tc>
              <w:tc>
                <w:tcPr>
                  <w:tcW w:w="342" w:type="pct"/>
                  <w:vMerge w:val="restart"/>
                  <w:tcBorders>
                    <w:tl2br w:val="nil"/>
                    <w:tr2bl w:val="nil"/>
                  </w:tcBorders>
                  <w:noWrap w:val="0"/>
                  <w:vAlign w:val="center"/>
                </w:tcPr>
                <w:p>
                  <w:pPr>
                    <w:pStyle w:val="59"/>
                    <w:adjustRightInd w:val="0"/>
                    <w:snapToGrid w:val="0"/>
                    <w:spacing w:line="240" w:lineRule="auto"/>
                    <w:ind w:firstLine="0" w:firstLineChars="0"/>
                    <w:jc w:val="center"/>
                    <w:rPr>
                      <w:sz w:val="18"/>
                      <w:szCs w:val="20"/>
                    </w:rPr>
                  </w:pPr>
                  <w:r>
                    <w:rPr>
                      <w:sz w:val="18"/>
                      <w:szCs w:val="20"/>
                    </w:rPr>
                    <w:t>金坛区第二污水处理厂接管要求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236"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422" w:type="pct"/>
                  <w:tcBorders>
                    <w:tl2br w:val="nil"/>
                    <w:tr2bl w:val="nil"/>
                  </w:tcBorders>
                  <w:noWrap w:val="0"/>
                  <w:vAlign w:val="center"/>
                </w:tcPr>
                <w:p>
                  <w:pPr>
                    <w:pStyle w:val="59"/>
                    <w:adjustRightInd w:val="0"/>
                    <w:snapToGrid w:val="0"/>
                    <w:spacing w:line="240" w:lineRule="auto"/>
                    <w:ind w:firstLine="0" w:firstLineChars="0"/>
                    <w:jc w:val="center"/>
                    <w:rPr>
                      <w:sz w:val="18"/>
                      <w:szCs w:val="21"/>
                    </w:rPr>
                  </w:pPr>
                  <w:r>
                    <w:rPr>
                      <w:sz w:val="18"/>
                      <w:szCs w:val="21"/>
                    </w:rPr>
                    <w:t>SS</w:t>
                  </w:r>
                </w:p>
              </w:tc>
              <w:tc>
                <w:tcPr>
                  <w:tcW w:w="510" w:type="dxa"/>
                  <w:tcBorders>
                    <w:tl2br w:val="nil"/>
                    <w:tr2bl w:val="nil"/>
                  </w:tcBorders>
                  <w:noWrap w:val="0"/>
                  <w:vAlign w:val="center"/>
                </w:tcPr>
                <w:p>
                  <w:pPr>
                    <w:adjustRightInd w:val="0"/>
                    <w:snapToGrid w:val="0"/>
                    <w:jc w:val="center"/>
                    <w:rPr>
                      <w:sz w:val="18"/>
                    </w:rPr>
                  </w:pPr>
                  <w:r>
                    <w:rPr>
                      <w:rFonts w:hint="eastAsia"/>
                      <w:sz w:val="18"/>
                      <w:szCs w:val="18"/>
                      <w:lang w:val="en-US" w:eastAsia="zh-CN"/>
                    </w:rPr>
                    <w:t>260</w:t>
                  </w:r>
                </w:p>
              </w:tc>
              <w:tc>
                <w:tcPr>
                  <w:tcW w:w="236"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271"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34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51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742"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c>
                <w:tcPr>
                  <w:tcW w:w="40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c>
                <w:tcPr>
                  <w:tcW w:w="649" w:type="pct"/>
                  <w:vMerge w:val="continue"/>
                  <w:tcBorders>
                    <w:tl2br w:val="nil"/>
                    <w:tr2bl w:val="nil"/>
                  </w:tcBorders>
                  <w:noWrap w:val="0"/>
                  <w:vAlign w:val="center"/>
                </w:tcPr>
                <w:p>
                  <w:pPr>
                    <w:pStyle w:val="59"/>
                    <w:adjustRightInd w:val="0"/>
                    <w:snapToGrid w:val="0"/>
                    <w:spacing w:line="240" w:lineRule="auto"/>
                    <w:ind w:firstLine="0" w:firstLineChars="0"/>
                    <w:jc w:val="center"/>
                    <w:rPr>
                      <w:sz w:val="18"/>
                      <w:szCs w:val="20"/>
                    </w:rPr>
                  </w:pPr>
                </w:p>
              </w:tc>
              <w:tc>
                <w:tcPr>
                  <w:tcW w:w="294" w:type="pct"/>
                  <w:tcBorders>
                    <w:tl2br w:val="nil"/>
                    <w:tr2bl w:val="nil"/>
                  </w:tcBorders>
                  <w:noWrap w:val="0"/>
                  <w:vAlign w:val="center"/>
                </w:tcPr>
                <w:p>
                  <w:pPr>
                    <w:pStyle w:val="59"/>
                    <w:adjustRightInd w:val="0"/>
                    <w:snapToGrid w:val="0"/>
                    <w:spacing w:line="240" w:lineRule="auto"/>
                    <w:ind w:firstLine="0" w:firstLineChars="0"/>
                    <w:jc w:val="center"/>
                    <w:rPr>
                      <w:sz w:val="18"/>
                      <w:szCs w:val="20"/>
                    </w:rPr>
                  </w:pPr>
                  <w:r>
                    <w:rPr>
                      <w:rFonts w:hint="eastAsia"/>
                      <w:sz w:val="18"/>
                      <w:szCs w:val="20"/>
                    </w:rPr>
                    <w:t>250</w:t>
                  </w:r>
                </w:p>
              </w:tc>
              <w:tc>
                <w:tcPr>
                  <w:tcW w:w="342"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236"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422" w:type="pct"/>
                  <w:tcBorders>
                    <w:tl2br w:val="nil"/>
                    <w:tr2bl w:val="nil"/>
                  </w:tcBorders>
                  <w:noWrap w:val="0"/>
                  <w:vAlign w:val="center"/>
                </w:tcPr>
                <w:p>
                  <w:pPr>
                    <w:pStyle w:val="59"/>
                    <w:adjustRightInd w:val="0"/>
                    <w:snapToGrid w:val="0"/>
                    <w:spacing w:line="240" w:lineRule="auto"/>
                    <w:ind w:firstLine="0" w:firstLineChars="0"/>
                    <w:jc w:val="center"/>
                    <w:rPr>
                      <w:sz w:val="18"/>
                      <w:szCs w:val="21"/>
                    </w:rPr>
                  </w:pPr>
                  <w:r>
                    <w:rPr>
                      <w:sz w:val="18"/>
                      <w:szCs w:val="21"/>
                    </w:rPr>
                    <w:t>氨氮</w:t>
                  </w:r>
                </w:p>
              </w:tc>
              <w:tc>
                <w:tcPr>
                  <w:tcW w:w="510" w:type="dxa"/>
                  <w:tcBorders>
                    <w:tl2br w:val="nil"/>
                    <w:tr2bl w:val="nil"/>
                  </w:tcBorders>
                  <w:noWrap w:val="0"/>
                  <w:vAlign w:val="center"/>
                </w:tcPr>
                <w:p>
                  <w:pPr>
                    <w:adjustRightInd w:val="0"/>
                    <w:snapToGrid w:val="0"/>
                    <w:jc w:val="center"/>
                    <w:rPr>
                      <w:sz w:val="18"/>
                    </w:rPr>
                  </w:pPr>
                  <w:r>
                    <w:rPr>
                      <w:sz w:val="18"/>
                      <w:szCs w:val="18"/>
                    </w:rPr>
                    <w:t>30</w:t>
                  </w:r>
                </w:p>
              </w:tc>
              <w:tc>
                <w:tcPr>
                  <w:tcW w:w="236"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271"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34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51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742"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c>
                <w:tcPr>
                  <w:tcW w:w="40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c>
                <w:tcPr>
                  <w:tcW w:w="649" w:type="pct"/>
                  <w:vMerge w:val="continue"/>
                  <w:tcBorders>
                    <w:tl2br w:val="nil"/>
                    <w:tr2bl w:val="nil"/>
                  </w:tcBorders>
                  <w:noWrap w:val="0"/>
                  <w:vAlign w:val="center"/>
                </w:tcPr>
                <w:p>
                  <w:pPr>
                    <w:pStyle w:val="59"/>
                    <w:adjustRightInd w:val="0"/>
                    <w:snapToGrid w:val="0"/>
                    <w:spacing w:line="240" w:lineRule="auto"/>
                    <w:ind w:firstLine="0" w:firstLineChars="0"/>
                    <w:jc w:val="center"/>
                    <w:rPr>
                      <w:sz w:val="18"/>
                      <w:szCs w:val="20"/>
                    </w:rPr>
                  </w:pPr>
                </w:p>
              </w:tc>
              <w:tc>
                <w:tcPr>
                  <w:tcW w:w="294" w:type="pct"/>
                  <w:tcBorders>
                    <w:tl2br w:val="nil"/>
                    <w:tr2bl w:val="nil"/>
                  </w:tcBorders>
                  <w:noWrap w:val="0"/>
                  <w:vAlign w:val="center"/>
                </w:tcPr>
                <w:p>
                  <w:pPr>
                    <w:pStyle w:val="59"/>
                    <w:adjustRightInd w:val="0"/>
                    <w:snapToGrid w:val="0"/>
                    <w:spacing w:line="240" w:lineRule="auto"/>
                    <w:ind w:firstLine="0" w:firstLineChars="0"/>
                    <w:jc w:val="center"/>
                    <w:rPr>
                      <w:sz w:val="18"/>
                      <w:szCs w:val="20"/>
                    </w:rPr>
                  </w:pPr>
                  <w:r>
                    <w:rPr>
                      <w:rFonts w:hint="eastAsia"/>
                      <w:sz w:val="18"/>
                      <w:szCs w:val="20"/>
                    </w:rPr>
                    <w:t>35</w:t>
                  </w:r>
                </w:p>
              </w:tc>
              <w:tc>
                <w:tcPr>
                  <w:tcW w:w="342"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236"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422" w:type="pct"/>
                  <w:tcBorders>
                    <w:tl2br w:val="nil"/>
                    <w:tr2bl w:val="nil"/>
                  </w:tcBorders>
                  <w:noWrap w:val="0"/>
                  <w:vAlign w:val="center"/>
                </w:tcPr>
                <w:p>
                  <w:pPr>
                    <w:pStyle w:val="59"/>
                    <w:adjustRightInd w:val="0"/>
                    <w:snapToGrid w:val="0"/>
                    <w:spacing w:line="240" w:lineRule="auto"/>
                    <w:ind w:firstLine="0" w:firstLineChars="0"/>
                    <w:jc w:val="center"/>
                    <w:rPr>
                      <w:sz w:val="18"/>
                      <w:szCs w:val="21"/>
                    </w:rPr>
                  </w:pPr>
                  <w:r>
                    <w:rPr>
                      <w:sz w:val="18"/>
                      <w:szCs w:val="21"/>
                    </w:rPr>
                    <w:t>TP</w:t>
                  </w:r>
                </w:p>
              </w:tc>
              <w:tc>
                <w:tcPr>
                  <w:tcW w:w="510" w:type="dxa"/>
                  <w:tcBorders>
                    <w:tl2br w:val="nil"/>
                    <w:tr2bl w:val="nil"/>
                  </w:tcBorders>
                  <w:noWrap w:val="0"/>
                  <w:vAlign w:val="center"/>
                </w:tcPr>
                <w:p>
                  <w:pPr>
                    <w:adjustRightInd w:val="0"/>
                    <w:snapToGrid w:val="0"/>
                    <w:jc w:val="center"/>
                    <w:rPr>
                      <w:sz w:val="18"/>
                    </w:rPr>
                  </w:pPr>
                  <w:r>
                    <w:rPr>
                      <w:sz w:val="18"/>
                      <w:szCs w:val="18"/>
                    </w:rPr>
                    <w:t>3</w:t>
                  </w:r>
                </w:p>
              </w:tc>
              <w:tc>
                <w:tcPr>
                  <w:tcW w:w="236"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271"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34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51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742"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c>
                <w:tcPr>
                  <w:tcW w:w="40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c>
                <w:tcPr>
                  <w:tcW w:w="649" w:type="pct"/>
                  <w:vMerge w:val="continue"/>
                  <w:tcBorders>
                    <w:tl2br w:val="nil"/>
                    <w:tr2bl w:val="nil"/>
                  </w:tcBorders>
                  <w:noWrap w:val="0"/>
                  <w:vAlign w:val="center"/>
                </w:tcPr>
                <w:p>
                  <w:pPr>
                    <w:pStyle w:val="59"/>
                    <w:adjustRightInd w:val="0"/>
                    <w:snapToGrid w:val="0"/>
                    <w:spacing w:line="240" w:lineRule="auto"/>
                    <w:ind w:firstLine="0" w:firstLineChars="0"/>
                    <w:jc w:val="center"/>
                    <w:rPr>
                      <w:sz w:val="18"/>
                      <w:szCs w:val="20"/>
                    </w:rPr>
                  </w:pPr>
                </w:p>
              </w:tc>
              <w:tc>
                <w:tcPr>
                  <w:tcW w:w="294" w:type="pct"/>
                  <w:tcBorders>
                    <w:tl2br w:val="nil"/>
                    <w:tr2bl w:val="nil"/>
                  </w:tcBorders>
                  <w:noWrap w:val="0"/>
                  <w:vAlign w:val="center"/>
                </w:tcPr>
                <w:p>
                  <w:pPr>
                    <w:pStyle w:val="59"/>
                    <w:adjustRightInd w:val="0"/>
                    <w:snapToGrid w:val="0"/>
                    <w:spacing w:line="240" w:lineRule="auto"/>
                    <w:ind w:firstLine="0" w:firstLineChars="0"/>
                    <w:jc w:val="center"/>
                    <w:rPr>
                      <w:sz w:val="18"/>
                      <w:szCs w:val="20"/>
                    </w:rPr>
                  </w:pPr>
                  <w:r>
                    <w:rPr>
                      <w:rFonts w:hint="eastAsia"/>
                      <w:sz w:val="18"/>
                      <w:szCs w:val="20"/>
                    </w:rPr>
                    <w:t>3</w:t>
                  </w:r>
                </w:p>
              </w:tc>
              <w:tc>
                <w:tcPr>
                  <w:tcW w:w="342"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236"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422" w:type="pct"/>
                  <w:tcBorders>
                    <w:tl2br w:val="nil"/>
                    <w:tr2bl w:val="nil"/>
                  </w:tcBorders>
                  <w:noWrap w:val="0"/>
                  <w:vAlign w:val="center"/>
                </w:tcPr>
                <w:p>
                  <w:pPr>
                    <w:pStyle w:val="59"/>
                    <w:adjustRightInd w:val="0"/>
                    <w:snapToGrid w:val="0"/>
                    <w:spacing w:line="240" w:lineRule="auto"/>
                    <w:ind w:firstLine="0" w:firstLineChars="0"/>
                    <w:jc w:val="center"/>
                    <w:rPr>
                      <w:sz w:val="18"/>
                      <w:szCs w:val="21"/>
                    </w:rPr>
                  </w:pPr>
                  <w:r>
                    <w:rPr>
                      <w:sz w:val="18"/>
                      <w:szCs w:val="21"/>
                    </w:rPr>
                    <w:t>TN</w:t>
                  </w:r>
                </w:p>
              </w:tc>
              <w:tc>
                <w:tcPr>
                  <w:tcW w:w="510" w:type="dxa"/>
                  <w:tcBorders>
                    <w:tl2br w:val="nil"/>
                    <w:tr2bl w:val="nil"/>
                  </w:tcBorders>
                  <w:noWrap w:val="0"/>
                  <w:vAlign w:val="center"/>
                </w:tcPr>
                <w:p>
                  <w:pPr>
                    <w:adjustRightInd w:val="0"/>
                    <w:snapToGrid w:val="0"/>
                    <w:jc w:val="center"/>
                    <w:rPr>
                      <w:sz w:val="18"/>
                    </w:rPr>
                  </w:pPr>
                  <w:r>
                    <w:rPr>
                      <w:sz w:val="18"/>
                      <w:szCs w:val="18"/>
                    </w:rPr>
                    <w:t>50</w:t>
                  </w:r>
                </w:p>
              </w:tc>
              <w:tc>
                <w:tcPr>
                  <w:tcW w:w="236"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271"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34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51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742"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c>
                <w:tcPr>
                  <w:tcW w:w="40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c>
                <w:tcPr>
                  <w:tcW w:w="649" w:type="pct"/>
                  <w:vMerge w:val="continue"/>
                  <w:tcBorders>
                    <w:tl2br w:val="nil"/>
                    <w:tr2bl w:val="nil"/>
                  </w:tcBorders>
                  <w:noWrap w:val="0"/>
                  <w:vAlign w:val="center"/>
                </w:tcPr>
                <w:p>
                  <w:pPr>
                    <w:pStyle w:val="59"/>
                    <w:adjustRightInd w:val="0"/>
                    <w:snapToGrid w:val="0"/>
                    <w:spacing w:line="240" w:lineRule="auto"/>
                    <w:ind w:firstLine="0" w:firstLineChars="0"/>
                    <w:jc w:val="center"/>
                    <w:rPr>
                      <w:sz w:val="18"/>
                      <w:szCs w:val="20"/>
                    </w:rPr>
                  </w:pPr>
                </w:p>
              </w:tc>
              <w:tc>
                <w:tcPr>
                  <w:tcW w:w="294" w:type="pct"/>
                  <w:tcBorders>
                    <w:tl2br w:val="nil"/>
                    <w:tr2bl w:val="nil"/>
                  </w:tcBorders>
                  <w:noWrap w:val="0"/>
                  <w:vAlign w:val="center"/>
                </w:tcPr>
                <w:p>
                  <w:pPr>
                    <w:pStyle w:val="59"/>
                    <w:adjustRightInd w:val="0"/>
                    <w:snapToGrid w:val="0"/>
                    <w:spacing w:line="240" w:lineRule="auto"/>
                    <w:ind w:firstLine="0" w:firstLineChars="0"/>
                    <w:jc w:val="center"/>
                    <w:rPr>
                      <w:sz w:val="18"/>
                      <w:szCs w:val="20"/>
                    </w:rPr>
                  </w:pPr>
                  <w:r>
                    <w:rPr>
                      <w:rFonts w:hint="eastAsia"/>
                      <w:sz w:val="18"/>
                      <w:szCs w:val="20"/>
                    </w:rPr>
                    <w:t>50</w:t>
                  </w:r>
                </w:p>
              </w:tc>
              <w:tc>
                <w:tcPr>
                  <w:tcW w:w="342"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236" w:type="pct"/>
                  <w:vMerge w:val="restart"/>
                  <w:tcBorders>
                    <w:tl2br w:val="nil"/>
                    <w:tr2bl w:val="nil"/>
                  </w:tcBorders>
                  <w:noWrap w:val="0"/>
                  <w:vAlign w:val="center"/>
                </w:tcPr>
                <w:p>
                  <w:pPr>
                    <w:adjustRightInd w:val="0"/>
                    <w:snapToGrid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w:t>
                  </w:r>
                </w:p>
              </w:tc>
              <w:tc>
                <w:tcPr>
                  <w:tcW w:w="236" w:type="pct"/>
                  <w:vMerge w:val="restart"/>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清洗废水</w:t>
                  </w:r>
                </w:p>
              </w:tc>
              <w:tc>
                <w:tcPr>
                  <w:tcW w:w="422" w:type="pct"/>
                  <w:tcBorders>
                    <w:tl2br w:val="nil"/>
                    <w:tr2bl w:val="nil"/>
                  </w:tcBorders>
                  <w:noWrap w:val="0"/>
                  <w:vAlign w:val="center"/>
                </w:tcPr>
                <w:p>
                  <w:pPr>
                    <w:pStyle w:val="59"/>
                    <w:adjustRightInd w:val="0"/>
                    <w:snapToGrid w:val="0"/>
                    <w:spacing w:line="240" w:lineRule="auto"/>
                    <w:ind w:firstLine="0" w:firstLineChars="0"/>
                    <w:jc w:val="center"/>
                    <w:rPr>
                      <w:rFonts w:ascii="Times New Roman" w:hAnsi="Times New Roman" w:eastAsia="宋体" w:cs="Times New Roman"/>
                      <w:sz w:val="18"/>
                      <w:szCs w:val="18"/>
                    </w:rPr>
                  </w:pPr>
                  <w:r>
                    <w:rPr>
                      <w:sz w:val="18"/>
                      <w:szCs w:val="21"/>
                    </w:rPr>
                    <w:t>COD</w:t>
                  </w:r>
                </w:p>
              </w:tc>
              <w:tc>
                <w:tcPr>
                  <w:tcW w:w="510" w:type="dxa"/>
                  <w:tcBorders>
                    <w:tl2br w:val="nil"/>
                    <w:tr2bl w:val="nil"/>
                  </w:tcBorders>
                  <w:noWrap w:val="0"/>
                  <w:vAlign w:val="center"/>
                </w:tcPr>
                <w:p>
                  <w:pPr>
                    <w:adjustRightInd w:val="0"/>
                    <w:snapToGrid w:val="0"/>
                    <w:jc w:val="center"/>
                    <w:rPr>
                      <w:sz w:val="18"/>
                      <w:szCs w:val="18"/>
                    </w:rPr>
                  </w:pPr>
                  <w:r>
                    <w:rPr>
                      <w:rFonts w:hint="eastAsia"/>
                      <w:sz w:val="18"/>
                      <w:szCs w:val="18"/>
                      <w:lang w:val="en-US" w:eastAsia="zh-CN"/>
                    </w:rPr>
                    <w:t>80</w:t>
                  </w:r>
                </w:p>
              </w:tc>
              <w:tc>
                <w:tcPr>
                  <w:tcW w:w="236" w:type="pct"/>
                  <w:vMerge w:val="restart"/>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r>
                    <w:rPr>
                      <w:rFonts w:hint="eastAsia"/>
                      <w:color w:val="auto"/>
                      <w:sz w:val="18"/>
                      <w:lang w:val="en-US" w:eastAsia="zh-CN"/>
                    </w:rPr>
                    <w:t>直</w:t>
                  </w:r>
                  <w:r>
                    <w:rPr>
                      <w:color w:val="auto"/>
                      <w:sz w:val="18"/>
                    </w:rPr>
                    <w:t>接排放</w:t>
                  </w:r>
                </w:p>
              </w:tc>
              <w:tc>
                <w:tcPr>
                  <w:tcW w:w="271" w:type="pct"/>
                  <w:vMerge w:val="restart"/>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r>
                    <w:rPr>
                      <w:sz w:val="18"/>
                    </w:rPr>
                    <w:t>排放至金坛</w:t>
                  </w:r>
                  <w:r>
                    <w:rPr>
                      <w:rFonts w:hint="eastAsia"/>
                      <w:sz w:val="18"/>
                    </w:rPr>
                    <w:t>区</w:t>
                  </w:r>
                  <w:r>
                    <w:rPr>
                      <w:sz w:val="18"/>
                    </w:rPr>
                    <w:t>第二污水处理厂</w:t>
                  </w:r>
                </w:p>
              </w:tc>
              <w:tc>
                <w:tcPr>
                  <w:tcW w:w="343" w:type="pct"/>
                  <w:vMerge w:val="restart"/>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r>
                    <w:rPr>
                      <w:rFonts w:hint="eastAsia"/>
                      <w:sz w:val="18"/>
                    </w:rPr>
                    <w:t>间断</w:t>
                  </w:r>
                  <w:r>
                    <w:rPr>
                      <w:sz w:val="18"/>
                    </w:rPr>
                    <w:t>排放，流量不稳定</w:t>
                  </w:r>
                </w:p>
              </w:tc>
              <w:tc>
                <w:tcPr>
                  <w:tcW w:w="513" w:type="pct"/>
                  <w:vMerge w:val="restart"/>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r>
                    <w:rPr>
                      <w:sz w:val="18"/>
                    </w:rPr>
                    <w:t>DW001</w:t>
                  </w:r>
                </w:p>
              </w:tc>
              <w:tc>
                <w:tcPr>
                  <w:tcW w:w="742" w:type="pct"/>
                  <w:vMerge w:val="restart"/>
                  <w:tcBorders>
                    <w:tl2br w:val="nil"/>
                    <w:tr2bl w:val="nil"/>
                  </w:tcBorders>
                  <w:noWrap w:val="0"/>
                  <w:vAlign w:val="center"/>
                </w:tcPr>
                <w:p>
                  <w:pPr>
                    <w:pStyle w:val="59"/>
                    <w:adjustRightInd w:val="0"/>
                    <w:snapToGrid w:val="0"/>
                    <w:spacing w:line="240" w:lineRule="auto"/>
                    <w:ind w:firstLine="0" w:firstLineChars="0"/>
                    <w:jc w:val="both"/>
                    <w:rPr>
                      <w:sz w:val="18"/>
                      <w:szCs w:val="20"/>
                    </w:rPr>
                  </w:pPr>
                  <w:r>
                    <w:rPr>
                      <w:rFonts w:hint="eastAsia"/>
                      <w:sz w:val="18"/>
                      <w:szCs w:val="20"/>
                    </w:rPr>
                    <w:t>E119.645579</w:t>
                  </w:r>
                </w:p>
                <w:p>
                  <w:pPr>
                    <w:pStyle w:val="59"/>
                    <w:adjustRightInd w:val="0"/>
                    <w:snapToGrid w:val="0"/>
                    <w:spacing w:line="240" w:lineRule="auto"/>
                    <w:ind w:firstLine="0" w:firstLineChars="0"/>
                    <w:jc w:val="both"/>
                    <w:rPr>
                      <w:color w:val="0000FF"/>
                      <w:sz w:val="18"/>
                      <w:szCs w:val="20"/>
                    </w:rPr>
                  </w:pPr>
                  <w:r>
                    <w:rPr>
                      <w:rFonts w:hint="eastAsia"/>
                      <w:sz w:val="18"/>
                      <w:szCs w:val="20"/>
                    </w:rPr>
                    <w:t>N31.750157</w:t>
                  </w:r>
                </w:p>
              </w:tc>
              <w:tc>
                <w:tcPr>
                  <w:tcW w:w="403" w:type="pct"/>
                  <w:vMerge w:val="restart"/>
                  <w:tcBorders>
                    <w:tl2br w:val="nil"/>
                    <w:tr2bl w:val="nil"/>
                  </w:tcBorders>
                  <w:noWrap w:val="0"/>
                  <w:vAlign w:val="center"/>
                </w:tcPr>
                <w:p>
                  <w:pPr>
                    <w:pStyle w:val="59"/>
                    <w:adjustRightInd w:val="0"/>
                    <w:snapToGrid w:val="0"/>
                    <w:spacing w:line="240" w:lineRule="auto"/>
                    <w:ind w:firstLine="0" w:firstLineChars="0"/>
                    <w:jc w:val="center"/>
                    <w:rPr>
                      <w:sz w:val="18"/>
                      <w:szCs w:val="20"/>
                    </w:rPr>
                  </w:pPr>
                  <w:r>
                    <w:rPr>
                      <w:sz w:val="18"/>
                      <w:szCs w:val="20"/>
                    </w:rPr>
                    <w:t>是√</w:t>
                  </w:r>
                </w:p>
                <w:p>
                  <w:pPr>
                    <w:pStyle w:val="59"/>
                    <w:adjustRightInd w:val="0"/>
                    <w:snapToGrid w:val="0"/>
                    <w:spacing w:line="240" w:lineRule="auto"/>
                    <w:ind w:firstLine="0" w:firstLineChars="0"/>
                    <w:jc w:val="center"/>
                    <w:rPr>
                      <w:color w:val="0000FF"/>
                      <w:sz w:val="18"/>
                      <w:szCs w:val="20"/>
                    </w:rPr>
                  </w:pPr>
                  <w:r>
                    <w:rPr>
                      <w:sz w:val="18"/>
                      <w:szCs w:val="20"/>
                    </w:rPr>
                    <w:t>否□</w:t>
                  </w:r>
                </w:p>
              </w:tc>
              <w:tc>
                <w:tcPr>
                  <w:tcW w:w="649" w:type="pct"/>
                  <w:vMerge w:val="restart"/>
                  <w:tcBorders>
                    <w:tl2br w:val="nil"/>
                    <w:tr2bl w:val="nil"/>
                  </w:tcBorders>
                  <w:noWrap w:val="0"/>
                  <w:vAlign w:val="center"/>
                </w:tcPr>
                <w:p>
                  <w:pPr>
                    <w:pStyle w:val="59"/>
                    <w:adjustRightInd w:val="0"/>
                    <w:snapToGrid w:val="0"/>
                    <w:spacing w:line="240" w:lineRule="auto"/>
                    <w:ind w:firstLine="0" w:firstLineChars="0"/>
                    <w:jc w:val="center"/>
                    <w:rPr>
                      <w:sz w:val="18"/>
                      <w:szCs w:val="20"/>
                    </w:rPr>
                  </w:pPr>
                  <w:r>
                    <w:rPr>
                      <w:sz w:val="18"/>
                      <w:szCs w:val="20"/>
                    </w:rPr>
                    <w:t>√企业总排</w:t>
                  </w:r>
                </w:p>
                <w:p>
                  <w:pPr>
                    <w:pStyle w:val="59"/>
                    <w:adjustRightInd w:val="0"/>
                    <w:snapToGrid w:val="0"/>
                    <w:spacing w:line="240" w:lineRule="auto"/>
                    <w:ind w:firstLine="0" w:firstLineChars="0"/>
                    <w:jc w:val="center"/>
                    <w:rPr>
                      <w:sz w:val="18"/>
                      <w:szCs w:val="20"/>
                    </w:rPr>
                  </w:pPr>
                  <w:r>
                    <w:rPr>
                      <w:sz w:val="18"/>
                      <w:szCs w:val="20"/>
                    </w:rPr>
                    <w:t>□雨水排放</w:t>
                  </w:r>
                </w:p>
                <w:p>
                  <w:pPr>
                    <w:pStyle w:val="59"/>
                    <w:adjustRightInd w:val="0"/>
                    <w:snapToGrid w:val="0"/>
                    <w:spacing w:line="240" w:lineRule="auto"/>
                    <w:ind w:firstLine="0" w:firstLineChars="0"/>
                    <w:jc w:val="center"/>
                    <w:rPr>
                      <w:sz w:val="18"/>
                      <w:szCs w:val="20"/>
                    </w:rPr>
                  </w:pPr>
                  <w:r>
                    <w:rPr>
                      <w:sz w:val="18"/>
                      <w:szCs w:val="20"/>
                    </w:rPr>
                    <w:t>□清净下水排放</w:t>
                  </w:r>
                </w:p>
                <w:p>
                  <w:pPr>
                    <w:pStyle w:val="59"/>
                    <w:adjustRightInd w:val="0"/>
                    <w:snapToGrid w:val="0"/>
                    <w:spacing w:line="240" w:lineRule="auto"/>
                    <w:ind w:firstLine="0" w:firstLineChars="0"/>
                    <w:jc w:val="center"/>
                    <w:rPr>
                      <w:sz w:val="18"/>
                      <w:szCs w:val="20"/>
                    </w:rPr>
                  </w:pPr>
                  <w:r>
                    <w:rPr>
                      <w:sz w:val="18"/>
                      <w:szCs w:val="20"/>
                    </w:rPr>
                    <w:t>□温排水排放</w:t>
                  </w:r>
                </w:p>
                <w:p>
                  <w:pPr>
                    <w:pStyle w:val="59"/>
                    <w:adjustRightInd w:val="0"/>
                    <w:snapToGrid w:val="0"/>
                    <w:spacing w:line="240" w:lineRule="auto"/>
                    <w:ind w:firstLine="0" w:firstLineChars="0"/>
                    <w:jc w:val="center"/>
                    <w:rPr>
                      <w:sz w:val="18"/>
                      <w:szCs w:val="20"/>
                    </w:rPr>
                  </w:pPr>
                  <w:r>
                    <w:rPr>
                      <w:sz w:val="18"/>
                      <w:szCs w:val="20"/>
                    </w:rPr>
                    <w:t>□车间或车间处理系统排放口</w:t>
                  </w:r>
                </w:p>
              </w:tc>
              <w:tc>
                <w:tcPr>
                  <w:tcW w:w="294" w:type="pct"/>
                  <w:tcBorders>
                    <w:tl2br w:val="nil"/>
                    <w:tr2bl w:val="nil"/>
                  </w:tcBorders>
                  <w:noWrap w:val="0"/>
                  <w:vAlign w:val="center"/>
                </w:tcPr>
                <w:p>
                  <w:pPr>
                    <w:pStyle w:val="59"/>
                    <w:adjustRightInd w:val="0"/>
                    <w:snapToGrid w:val="0"/>
                    <w:spacing w:line="240" w:lineRule="auto"/>
                    <w:ind w:firstLine="0" w:firstLineChars="0"/>
                    <w:jc w:val="center"/>
                    <w:rPr>
                      <w:rFonts w:hint="eastAsia"/>
                      <w:sz w:val="18"/>
                      <w:szCs w:val="20"/>
                    </w:rPr>
                  </w:pPr>
                  <w:r>
                    <w:rPr>
                      <w:sz w:val="18"/>
                      <w:szCs w:val="20"/>
                    </w:rPr>
                    <w:t>500</w:t>
                  </w:r>
                </w:p>
              </w:tc>
              <w:tc>
                <w:tcPr>
                  <w:tcW w:w="342" w:type="pct"/>
                  <w:vMerge w:val="restart"/>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r>
                    <w:rPr>
                      <w:sz w:val="18"/>
                      <w:szCs w:val="20"/>
                    </w:rPr>
                    <w:t>金坛区第二污水处理厂接管要求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sz w:val="18"/>
                      <w:szCs w:val="18"/>
                      <w:lang w:val="en-US" w:eastAsia="zh-CN"/>
                    </w:rPr>
                  </w:pPr>
                </w:p>
              </w:tc>
              <w:tc>
                <w:tcPr>
                  <w:tcW w:w="236"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sz w:val="18"/>
                      <w:szCs w:val="18"/>
                      <w:lang w:val="en-US" w:eastAsia="zh-CN"/>
                    </w:rPr>
                  </w:pPr>
                </w:p>
              </w:tc>
              <w:tc>
                <w:tcPr>
                  <w:tcW w:w="422" w:type="pct"/>
                  <w:tcBorders>
                    <w:tl2br w:val="nil"/>
                    <w:tr2bl w:val="nil"/>
                  </w:tcBorders>
                  <w:noWrap w:val="0"/>
                  <w:vAlign w:val="center"/>
                </w:tcPr>
                <w:p>
                  <w:pPr>
                    <w:pStyle w:val="59"/>
                    <w:adjustRightInd w:val="0"/>
                    <w:snapToGrid w:val="0"/>
                    <w:spacing w:line="240" w:lineRule="auto"/>
                    <w:ind w:firstLine="0" w:firstLineChars="0"/>
                    <w:jc w:val="center"/>
                    <w:rPr>
                      <w:rFonts w:ascii="Times New Roman" w:hAnsi="Times New Roman" w:eastAsia="宋体" w:cs="Times New Roman"/>
                      <w:sz w:val="18"/>
                      <w:szCs w:val="18"/>
                    </w:rPr>
                  </w:pPr>
                  <w:r>
                    <w:rPr>
                      <w:sz w:val="18"/>
                      <w:szCs w:val="21"/>
                    </w:rPr>
                    <w:t>SS</w:t>
                  </w:r>
                </w:p>
              </w:tc>
              <w:tc>
                <w:tcPr>
                  <w:tcW w:w="510" w:type="dxa"/>
                  <w:tcBorders>
                    <w:tl2br w:val="nil"/>
                    <w:tr2bl w:val="nil"/>
                  </w:tcBorders>
                  <w:noWrap w:val="0"/>
                  <w:vAlign w:val="center"/>
                </w:tcPr>
                <w:p>
                  <w:pPr>
                    <w:adjustRightInd w:val="0"/>
                    <w:snapToGrid w:val="0"/>
                    <w:jc w:val="center"/>
                    <w:rPr>
                      <w:sz w:val="18"/>
                      <w:szCs w:val="18"/>
                    </w:rPr>
                  </w:pPr>
                  <w:r>
                    <w:rPr>
                      <w:rFonts w:hint="eastAsia"/>
                      <w:sz w:val="18"/>
                      <w:szCs w:val="18"/>
                      <w:lang w:val="en-US" w:eastAsia="zh-CN"/>
                    </w:rPr>
                    <w:t>220</w:t>
                  </w:r>
                </w:p>
              </w:tc>
              <w:tc>
                <w:tcPr>
                  <w:tcW w:w="236"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271"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34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51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742"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c>
                <w:tcPr>
                  <w:tcW w:w="40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c>
                <w:tcPr>
                  <w:tcW w:w="649" w:type="pct"/>
                  <w:vMerge w:val="continue"/>
                  <w:tcBorders>
                    <w:tl2br w:val="nil"/>
                    <w:tr2bl w:val="nil"/>
                  </w:tcBorders>
                  <w:noWrap w:val="0"/>
                  <w:vAlign w:val="center"/>
                </w:tcPr>
                <w:p>
                  <w:pPr>
                    <w:pStyle w:val="59"/>
                    <w:adjustRightInd w:val="0"/>
                    <w:snapToGrid w:val="0"/>
                    <w:spacing w:line="240" w:lineRule="auto"/>
                    <w:ind w:firstLine="0" w:firstLineChars="0"/>
                    <w:jc w:val="center"/>
                    <w:rPr>
                      <w:sz w:val="18"/>
                      <w:szCs w:val="20"/>
                    </w:rPr>
                  </w:pPr>
                </w:p>
              </w:tc>
              <w:tc>
                <w:tcPr>
                  <w:tcW w:w="294" w:type="pct"/>
                  <w:tcBorders>
                    <w:tl2br w:val="nil"/>
                    <w:tr2bl w:val="nil"/>
                  </w:tcBorders>
                  <w:noWrap w:val="0"/>
                  <w:vAlign w:val="center"/>
                </w:tcPr>
                <w:p>
                  <w:pPr>
                    <w:pStyle w:val="59"/>
                    <w:adjustRightInd w:val="0"/>
                    <w:snapToGrid w:val="0"/>
                    <w:spacing w:line="240" w:lineRule="auto"/>
                    <w:ind w:firstLine="0" w:firstLineChars="0"/>
                    <w:jc w:val="center"/>
                    <w:rPr>
                      <w:rFonts w:hint="eastAsia"/>
                      <w:sz w:val="18"/>
                      <w:szCs w:val="20"/>
                    </w:rPr>
                  </w:pPr>
                  <w:r>
                    <w:rPr>
                      <w:rFonts w:hint="eastAsia"/>
                      <w:sz w:val="18"/>
                      <w:szCs w:val="20"/>
                    </w:rPr>
                    <w:t>250</w:t>
                  </w:r>
                </w:p>
              </w:tc>
              <w:tc>
                <w:tcPr>
                  <w:tcW w:w="342"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236" w:type="pct"/>
                  <w:vMerge w:val="restart"/>
                  <w:tcBorders>
                    <w:tl2br w:val="nil"/>
                    <w:tr2bl w:val="nil"/>
                  </w:tcBorders>
                  <w:noWrap w:val="0"/>
                  <w:vAlign w:val="center"/>
                </w:tcPr>
                <w:p>
                  <w:pPr>
                    <w:pStyle w:val="59"/>
                    <w:adjustRightInd w:val="0"/>
                    <w:snapToGrid w:val="0"/>
                    <w:spacing w:line="240" w:lineRule="auto"/>
                    <w:ind w:firstLine="0" w:firstLineChars="0"/>
                    <w:jc w:val="center"/>
                    <w:rPr>
                      <w:rFonts w:hint="default"/>
                      <w:color w:val="000000"/>
                      <w:sz w:val="18"/>
                      <w:lang w:val="en-US" w:eastAsia="zh-CN"/>
                    </w:rPr>
                  </w:pPr>
                  <w:r>
                    <w:rPr>
                      <w:rFonts w:hint="eastAsia"/>
                      <w:color w:val="000000"/>
                      <w:sz w:val="18"/>
                      <w:lang w:val="en-US" w:eastAsia="zh-CN"/>
                    </w:rPr>
                    <w:t>3</w:t>
                  </w:r>
                </w:p>
              </w:tc>
              <w:tc>
                <w:tcPr>
                  <w:tcW w:w="236" w:type="pct"/>
                  <w:vMerge w:val="restart"/>
                  <w:tcBorders>
                    <w:tl2br w:val="nil"/>
                    <w:tr2bl w:val="nil"/>
                  </w:tcBorders>
                  <w:noWrap w:val="0"/>
                  <w:vAlign w:val="center"/>
                </w:tcPr>
                <w:p>
                  <w:pPr>
                    <w:pStyle w:val="59"/>
                    <w:adjustRightInd w:val="0"/>
                    <w:snapToGrid w:val="0"/>
                    <w:spacing w:line="240" w:lineRule="auto"/>
                    <w:ind w:firstLine="0" w:firstLineChars="0"/>
                    <w:jc w:val="center"/>
                    <w:rPr>
                      <w:rFonts w:hint="eastAsia"/>
                      <w:sz w:val="18"/>
                      <w:szCs w:val="18"/>
                      <w:lang w:val="en-US" w:eastAsia="zh-CN"/>
                    </w:rPr>
                  </w:pPr>
                  <w:r>
                    <w:rPr>
                      <w:rFonts w:hint="eastAsia"/>
                      <w:sz w:val="18"/>
                      <w:szCs w:val="18"/>
                      <w:lang w:val="en-US" w:eastAsia="zh-CN"/>
                    </w:rPr>
                    <w:t>反渗透浓水</w:t>
                  </w:r>
                </w:p>
              </w:tc>
              <w:tc>
                <w:tcPr>
                  <w:tcW w:w="422" w:type="pct"/>
                  <w:tcBorders>
                    <w:tl2br w:val="nil"/>
                    <w:tr2bl w:val="nil"/>
                  </w:tcBorders>
                  <w:noWrap w:val="0"/>
                  <w:vAlign w:val="center"/>
                </w:tcPr>
                <w:p>
                  <w:pPr>
                    <w:pStyle w:val="59"/>
                    <w:adjustRightInd w:val="0"/>
                    <w:snapToGrid w:val="0"/>
                    <w:spacing w:line="240" w:lineRule="auto"/>
                    <w:ind w:firstLine="0" w:firstLineChars="0"/>
                    <w:jc w:val="center"/>
                    <w:rPr>
                      <w:sz w:val="18"/>
                      <w:szCs w:val="21"/>
                    </w:rPr>
                  </w:pPr>
                  <w:r>
                    <w:rPr>
                      <w:sz w:val="18"/>
                      <w:szCs w:val="21"/>
                    </w:rPr>
                    <w:t>COD</w:t>
                  </w:r>
                </w:p>
              </w:tc>
              <w:tc>
                <w:tcPr>
                  <w:tcW w:w="510" w:type="dxa"/>
                  <w:tcBorders>
                    <w:tl2br w:val="nil"/>
                    <w:tr2bl w:val="nil"/>
                  </w:tcBorders>
                  <w:noWrap w:val="0"/>
                  <w:vAlign w:val="center"/>
                </w:tcPr>
                <w:p>
                  <w:pPr>
                    <w:adjustRightInd w:val="0"/>
                    <w:snapToGrid w:val="0"/>
                    <w:jc w:val="center"/>
                    <w:rPr>
                      <w:rFonts w:hint="eastAsia"/>
                      <w:sz w:val="18"/>
                      <w:szCs w:val="18"/>
                      <w:lang w:val="en-US" w:eastAsia="zh-CN"/>
                    </w:rPr>
                  </w:pPr>
                  <w:r>
                    <w:rPr>
                      <w:rFonts w:hint="eastAsia" w:ascii="Times New Roman" w:hAnsi="Times New Roman" w:eastAsia="宋体" w:cs="Times New Roman"/>
                      <w:sz w:val="18"/>
                      <w:szCs w:val="18"/>
                      <w:lang w:val="en-US" w:eastAsia="zh-CN"/>
                    </w:rPr>
                    <w:t>50</w:t>
                  </w:r>
                </w:p>
              </w:tc>
              <w:tc>
                <w:tcPr>
                  <w:tcW w:w="236" w:type="pct"/>
                  <w:vMerge w:val="restart"/>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r>
                    <w:rPr>
                      <w:rFonts w:hint="eastAsia"/>
                      <w:color w:val="auto"/>
                      <w:sz w:val="18"/>
                      <w:lang w:val="en-US" w:eastAsia="zh-CN"/>
                    </w:rPr>
                    <w:t>直</w:t>
                  </w:r>
                  <w:r>
                    <w:rPr>
                      <w:color w:val="auto"/>
                      <w:sz w:val="18"/>
                    </w:rPr>
                    <w:t>接排放</w:t>
                  </w:r>
                </w:p>
              </w:tc>
              <w:tc>
                <w:tcPr>
                  <w:tcW w:w="271" w:type="pct"/>
                  <w:vMerge w:val="restart"/>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r>
                    <w:rPr>
                      <w:sz w:val="18"/>
                    </w:rPr>
                    <w:t>排放至金坛</w:t>
                  </w:r>
                  <w:r>
                    <w:rPr>
                      <w:rFonts w:hint="eastAsia"/>
                      <w:sz w:val="18"/>
                    </w:rPr>
                    <w:t>区</w:t>
                  </w:r>
                  <w:r>
                    <w:rPr>
                      <w:sz w:val="18"/>
                    </w:rPr>
                    <w:t>第二污水处理厂</w:t>
                  </w:r>
                </w:p>
              </w:tc>
              <w:tc>
                <w:tcPr>
                  <w:tcW w:w="343" w:type="pct"/>
                  <w:vMerge w:val="restart"/>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r>
                    <w:rPr>
                      <w:rFonts w:hint="eastAsia"/>
                      <w:sz w:val="18"/>
                    </w:rPr>
                    <w:t>间断</w:t>
                  </w:r>
                  <w:r>
                    <w:rPr>
                      <w:sz w:val="18"/>
                    </w:rPr>
                    <w:t>排放，流量不稳定</w:t>
                  </w:r>
                </w:p>
              </w:tc>
              <w:tc>
                <w:tcPr>
                  <w:tcW w:w="513" w:type="pct"/>
                  <w:vMerge w:val="restart"/>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r>
                    <w:rPr>
                      <w:sz w:val="18"/>
                    </w:rPr>
                    <w:t>DW001</w:t>
                  </w:r>
                </w:p>
              </w:tc>
              <w:tc>
                <w:tcPr>
                  <w:tcW w:w="742" w:type="pct"/>
                  <w:vMerge w:val="restart"/>
                  <w:tcBorders>
                    <w:tl2br w:val="nil"/>
                    <w:tr2bl w:val="nil"/>
                  </w:tcBorders>
                  <w:noWrap w:val="0"/>
                  <w:vAlign w:val="center"/>
                </w:tcPr>
                <w:p>
                  <w:pPr>
                    <w:pStyle w:val="59"/>
                    <w:adjustRightInd w:val="0"/>
                    <w:snapToGrid w:val="0"/>
                    <w:spacing w:line="240" w:lineRule="auto"/>
                    <w:ind w:firstLine="0" w:firstLineChars="0"/>
                    <w:jc w:val="both"/>
                    <w:rPr>
                      <w:sz w:val="18"/>
                      <w:szCs w:val="20"/>
                    </w:rPr>
                  </w:pPr>
                  <w:r>
                    <w:rPr>
                      <w:rFonts w:hint="eastAsia"/>
                      <w:sz w:val="18"/>
                      <w:szCs w:val="20"/>
                    </w:rPr>
                    <w:t>E119.645579</w:t>
                  </w:r>
                </w:p>
                <w:p>
                  <w:pPr>
                    <w:pStyle w:val="59"/>
                    <w:adjustRightInd w:val="0"/>
                    <w:snapToGrid w:val="0"/>
                    <w:spacing w:line="240" w:lineRule="auto"/>
                    <w:ind w:firstLine="0" w:firstLineChars="0"/>
                    <w:jc w:val="both"/>
                    <w:rPr>
                      <w:color w:val="0000FF"/>
                      <w:sz w:val="18"/>
                      <w:szCs w:val="20"/>
                    </w:rPr>
                  </w:pPr>
                  <w:r>
                    <w:rPr>
                      <w:rFonts w:hint="eastAsia"/>
                      <w:sz w:val="18"/>
                      <w:szCs w:val="20"/>
                    </w:rPr>
                    <w:t>N31.750157</w:t>
                  </w:r>
                </w:p>
              </w:tc>
              <w:tc>
                <w:tcPr>
                  <w:tcW w:w="403" w:type="pct"/>
                  <w:vMerge w:val="restart"/>
                  <w:tcBorders>
                    <w:tl2br w:val="nil"/>
                    <w:tr2bl w:val="nil"/>
                  </w:tcBorders>
                  <w:noWrap w:val="0"/>
                  <w:vAlign w:val="center"/>
                </w:tcPr>
                <w:p>
                  <w:pPr>
                    <w:pStyle w:val="59"/>
                    <w:adjustRightInd w:val="0"/>
                    <w:snapToGrid w:val="0"/>
                    <w:spacing w:line="240" w:lineRule="auto"/>
                    <w:ind w:firstLine="0" w:firstLineChars="0"/>
                    <w:jc w:val="center"/>
                    <w:rPr>
                      <w:sz w:val="18"/>
                      <w:szCs w:val="20"/>
                    </w:rPr>
                  </w:pPr>
                  <w:r>
                    <w:rPr>
                      <w:sz w:val="18"/>
                      <w:szCs w:val="20"/>
                    </w:rPr>
                    <w:t>是√</w:t>
                  </w:r>
                </w:p>
                <w:p>
                  <w:pPr>
                    <w:pStyle w:val="59"/>
                    <w:adjustRightInd w:val="0"/>
                    <w:snapToGrid w:val="0"/>
                    <w:spacing w:line="240" w:lineRule="auto"/>
                    <w:ind w:firstLine="0" w:firstLineChars="0"/>
                    <w:jc w:val="center"/>
                    <w:rPr>
                      <w:color w:val="0000FF"/>
                      <w:sz w:val="18"/>
                      <w:szCs w:val="20"/>
                    </w:rPr>
                  </w:pPr>
                  <w:r>
                    <w:rPr>
                      <w:sz w:val="18"/>
                      <w:szCs w:val="20"/>
                    </w:rPr>
                    <w:t>否□</w:t>
                  </w:r>
                </w:p>
              </w:tc>
              <w:tc>
                <w:tcPr>
                  <w:tcW w:w="649" w:type="pct"/>
                  <w:vMerge w:val="restart"/>
                  <w:tcBorders>
                    <w:tl2br w:val="nil"/>
                    <w:tr2bl w:val="nil"/>
                  </w:tcBorders>
                  <w:noWrap w:val="0"/>
                  <w:vAlign w:val="center"/>
                </w:tcPr>
                <w:p>
                  <w:pPr>
                    <w:pStyle w:val="59"/>
                    <w:adjustRightInd w:val="0"/>
                    <w:snapToGrid w:val="0"/>
                    <w:spacing w:line="240" w:lineRule="auto"/>
                    <w:ind w:firstLine="0" w:firstLineChars="0"/>
                    <w:jc w:val="center"/>
                    <w:rPr>
                      <w:sz w:val="18"/>
                      <w:szCs w:val="20"/>
                    </w:rPr>
                  </w:pPr>
                  <w:r>
                    <w:rPr>
                      <w:sz w:val="18"/>
                      <w:szCs w:val="20"/>
                    </w:rPr>
                    <w:t>√企业总排</w:t>
                  </w:r>
                </w:p>
                <w:p>
                  <w:pPr>
                    <w:pStyle w:val="59"/>
                    <w:adjustRightInd w:val="0"/>
                    <w:snapToGrid w:val="0"/>
                    <w:spacing w:line="240" w:lineRule="auto"/>
                    <w:ind w:firstLine="0" w:firstLineChars="0"/>
                    <w:jc w:val="center"/>
                    <w:rPr>
                      <w:sz w:val="18"/>
                      <w:szCs w:val="20"/>
                    </w:rPr>
                  </w:pPr>
                  <w:r>
                    <w:rPr>
                      <w:sz w:val="18"/>
                      <w:szCs w:val="20"/>
                    </w:rPr>
                    <w:t>□雨水排放</w:t>
                  </w:r>
                </w:p>
                <w:p>
                  <w:pPr>
                    <w:pStyle w:val="59"/>
                    <w:adjustRightInd w:val="0"/>
                    <w:snapToGrid w:val="0"/>
                    <w:spacing w:line="240" w:lineRule="auto"/>
                    <w:ind w:firstLine="0" w:firstLineChars="0"/>
                    <w:jc w:val="center"/>
                    <w:rPr>
                      <w:sz w:val="18"/>
                      <w:szCs w:val="20"/>
                    </w:rPr>
                  </w:pPr>
                  <w:r>
                    <w:rPr>
                      <w:sz w:val="18"/>
                      <w:szCs w:val="20"/>
                    </w:rPr>
                    <w:t>□清净下水排放</w:t>
                  </w:r>
                </w:p>
                <w:p>
                  <w:pPr>
                    <w:pStyle w:val="59"/>
                    <w:adjustRightInd w:val="0"/>
                    <w:snapToGrid w:val="0"/>
                    <w:spacing w:line="240" w:lineRule="auto"/>
                    <w:ind w:firstLine="0" w:firstLineChars="0"/>
                    <w:jc w:val="center"/>
                    <w:rPr>
                      <w:sz w:val="18"/>
                      <w:szCs w:val="20"/>
                    </w:rPr>
                  </w:pPr>
                  <w:r>
                    <w:rPr>
                      <w:sz w:val="18"/>
                      <w:szCs w:val="20"/>
                    </w:rPr>
                    <w:t>□温排水排放</w:t>
                  </w:r>
                </w:p>
                <w:p>
                  <w:pPr>
                    <w:pStyle w:val="59"/>
                    <w:adjustRightInd w:val="0"/>
                    <w:snapToGrid w:val="0"/>
                    <w:spacing w:line="240" w:lineRule="auto"/>
                    <w:ind w:firstLine="0" w:firstLineChars="0"/>
                    <w:jc w:val="center"/>
                    <w:rPr>
                      <w:sz w:val="18"/>
                      <w:szCs w:val="20"/>
                    </w:rPr>
                  </w:pPr>
                  <w:r>
                    <w:rPr>
                      <w:sz w:val="18"/>
                      <w:szCs w:val="20"/>
                    </w:rPr>
                    <w:t>□车间或车间处理系统排放口</w:t>
                  </w:r>
                </w:p>
              </w:tc>
              <w:tc>
                <w:tcPr>
                  <w:tcW w:w="294" w:type="pct"/>
                  <w:tcBorders>
                    <w:tl2br w:val="nil"/>
                    <w:tr2bl w:val="nil"/>
                  </w:tcBorders>
                  <w:noWrap w:val="0"/>
                  <w:vAlign w:val="center"/>
                </w:tcPr>
                <w:p>
                  <w:pPr>
                    <w:pStyle w:val="59"/>
                    <w:adjustRightInd w:val="0"/>
                    <w:snapToGrid w:val="0"/>
                    <w:spacing w:line="240" w:lineRule="auto"/>
                    <w:ind w:firstLine="0" w:firstLineChars="0"/>
                    <w:jc w:val="center"/>
                    <w:rPr>
                      <w:rFonts w:hint="eastAsia"/>
                      <w:sz w:val="18"/>
                      <w:szCs w:val="20"/>
                    </w:rPr>
                  </w:pPr>
                  <w:r>
                    <w:rPr>
                      <w:sz w:val="18"/>
                      <w:szCs w:val="20"/>
                    </w:rPr>
                    <w:t>500</w:t>
                  </w:r>
                </w:p>
              </w:tc>
              <w:tc>
                <w:tcPr>
                  <w:tcW w:w="342" w:type="pct"/>
                  <w:vMerge w:val="restart"/>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r>
                    <w:rPr>
                      <w:sz w:val="18"/>
                      <w:szCs w:val="20"/>
                    </w:rPr>
                    <w:t>金坛区第二污水处理厂接管要求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Merge w:val="continue"/>
                  <w:tcBorders>
                    <w:tl2br w:val="nil"/>
                    <w:tr2bl w:val="nil"/>
                  </w:tcBorders>
                  <w:noWrap w:val="0"/>
                  <w:vAlign w:val="center"/>
                </w:tcPr>
                <w:p>
                  <w:pPr>
                    <w:pStyle w:val="59"/>
                    <w:adjustRightInd w:val="0"/>
                    <w:snapToGrid w:val="0"/>
                    <w:spacing w:line="240" w:lineRule="auto"/>
                    <w:ind w:firstLine="0" w:firstLineChars="0"/>
                    <w:jc w:val="center"/>
                    <w:rPr>
                      <w:rFonts w:hint="eastAsia"/>
                      <w:color w:val="0000FF"/>
                      <w:sz w:val="18"/>
                      <w:lang w:val="en-US" w:eastAsia="zh-CN"/>
                    </w:rPr>
                  </w:pPr>
                </w:p>
              </w:tc>
              <w:tc>
                <w:tcPr>
                  <w:tcW w:w="236" w:type="pct"/>
                  <w:vMerge w:val="continue"/>
                  <w:tcBorders>
                    <w:tl2br w:val="nil"/>
                    <w:tr2bl w:val="nil"/>
                  </w:tcBorders>
                  <w:noWrap w:val="0"/>
                  <w:vAlign w:val="center"/>
                </w:tcPr>
                <w:p>
                  <w:pPr>
                    <w:pStyle w:val="59"/>
                    <w:adjustRightInd w:val="0"/>
                    <w:snapToGrid w:val="0"/>
                    <w:spacing w:line="240" w:lineRule="auto"/>
                    <w:ind w:firstLine="0" w:firstLineChars="0"/>
                    <w:jc w:val="center"/>
                    <w:rPr>
                      <w:rFonts w:hint="eastAsia"/>
                      <w:sz w:val="18"/>
                      <w:szCs w:val="18"/>
                      <w:lang w:val="en-US" w:eastAsia="zh-CN"/>
                    </w:rPr>
                  </w:pPr>
                </w:p>
              </w:tc>
              <w:tc>
                <w:tcPr>
                  <w:tcW w:w="422" w:type="pct"/>
                  <w:tcBorders>
                    <w:tl2br w:val="nil"/>
                    <w:tr2bl w:val="nil"/>
                  </w:tcBorders>
                  <w:noWrap w:val="0"/>
                  <w:vAlign w:val="center"/>
                </w:tcPr>
                <w:p>
                  <w:pPr>
                    <w:pStyle w:val="59"/>
                    <w:adjustRightInd w:val="0"/>
                    <w:snapToGrid w:val="0"/>
                    <w:spacing w:line="240" w:lineRule="auto"/>
                    <w:ind w:firstLine="0" w:firstLineChars="0"/>
                    <w:jc w:val="center"/>
                    <w:rPr>
                      <w:sz w:val="18"/>
                      <w:szCs w:val="21"/>
                    </w:rPr>
                  </w:pPr>
                  <w:r>
                    <w:rPr>
                      <w:sz w:val="18"/>
                      <w:szCs w:val="21"/>
                    </w:rPr>
                    <w:t>SS</w:t>
                  </w:r>
                </w:p>
              </w:tc>
              <w:tc>
                <w:tcPr>
                  <w:tcW w:w="510" w:type="dxa"/>
                  <w:tcBorders>
                    <w:tl2br w:val="nil"/>
                    <w:tr2bl w:val="nil"/>
                  </w:tcBorders>
                  <w:noWrap w:val="0"/>
                  <w:vAlign w:val="center"/>
                </w:tcPr>
                <w:p>
                  <w:pPr>
                    <w:adjustRightInd w:val="0"/>
                    <w:snapToGrid w:val="0"/>
                    <w:jc w:val="center"/>
                    <w:rPr>
                      <w:rFonts w:hint="eastAsia"/>
                      <w:sz w:val="18"/>
                      <w:szCs w:val="18"/>
                      <w:lang w:val="en-US" w:eastAsia="zh-CN"/>
                    </w:rPr>
                  </w:pPr>
                  <w:r>
                    <w:rPr>
                      <w:rFonts w:hint="eastAsia" w:ascii="Times New Roman" w:hAnsi="Times New Roman" w:eastAsia="宋体" w:cs="Times New Roman"/>
                      <w:sz w:val="18"/>
                      <w:szCs w:val="18"/>
                      <w:lang w:val="en-US" w:eastAsia="zh-CN"/>
                    </w:rPr>
                    <w:t>40</w:t>
                  </w:r>
                </w:p>
              </w:tc>
              <w:tc>
                <w:tcPr>
                  <w:tcW w:w="236"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271"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34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51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rPr>
                  </w:pPr>
                </w:p>
              </w:tc>
              <w:tc>
                <w:tcPr>
                  <w:tcW w:w="742"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c>
                <w:tcPr>
                  <w:tcW w:w="403"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c>
                <w:tcPr>
                  <w:tcW w:w="649" w:type="pct"/>
                  <w:vMerge w:val="continue"/>
                  <w:tcBorders>
                    <w:tl2br w:val="nil"/>
                    <w:tr2bl w:val="nil"/>
                  </w:tcBorders>
                  <w:noWrap w:val="0"/>
                  <w:vAlign w:val="center"/>
                </w:tcPr>
                <w:p>
                  <w:pPr>
                    <w:pStyle w:val="59"/>
                    <w:adjustRightInd w:val="0"/>
                    <w:snapToGrid w:val="0"/>
                    <w:spacing w:line="240" w:lineRule="auto"/>
                    <w:ind w:firstLine="0" w:firstLineChars="0"/>
                    <w:jc w:val="center"/>
                    <w:rPr>
                      <w:sz w:val="18"/>
                      <w:szCs w:val="20"/>
                    </w:rPr>
                  </w:pPr>
                </w:p>
              </w:tc>
              <w:tc>
                <w:tcPr>
                  <w:tcW w:w="294" w:type="pct"/>
                  <w:tcBorders>
                    <w:tl2br w:val="nil"/>
                    <w:tr2bl w:val="nil"/>
                  </w:tcBorders>
                  <w:noWrap w:val="0"/>
                  <w:vAlign w:val="center"/>
                </w:tcPr>
                <w:p>
                  <w:pPr>
                    <w:pStyle w:val="59"/>
                    <w:adjustRightInd w:val="0"/>
                    <w:snapToGrid w:val="0"/>
                    <w:spacing w:line="240" w:lineRule="auto"/>
                    <w:ind w:firstLine="0" w:firstLineChars="0"/>
                    <w:jc w:val="center"/>
                    <w:rPr>
                      <w:rFonts w:hint="eastAsia"/>
                      <w:sz w:val="18"/>
                      <w:szCs w:val="20"/>
                    </w:rPr>
                  </w:pPr>
                  <w:r>
                    <w:rPr>
                      <w:rFonts w:hint="eastAsia"/>
                      <w:sz w:val="18"/>
                      <w:szCs w:val="20"/>
                    </w:rPr>
                    <w:t>250</w:t>
                  </w:r>
                </w:p>
              </w:tc>
              <w:tc>
                <w:tcPr>
                  <w:tcW w:w="342" w:type="pct"/>
                  <w:vMerge w:val="continue"/>
                  <w:tcBorders>
                    <w:tl2br w:val="nil"/>
                    <w:tr2bl w:val="nil"/>
                  </w:tcBorders>
                  <w:noWrap w:val="0"/>
                  <w:vAlign w:val="center"/>
                </w:tcPr>
                <w:p>
                  <w:pPr>
                    <w:pStyle w:val="59"/>
                    <w:adjustRightInd w:val="0"/>
                    <w:snapToGrid w:val="0"/>
                    <w:spacing w:line="240" w:lineRule="auto"/>
                    <w:ind w:firstLine="0" w:firstLineChars="0"/>
                    <w:jc w:val="center"/>
                    <w:rPr>
                      <w:color w:val="0000FF"/>
                      <w:sz w:val="18"/>
                      <w:szCs w:val="20"/>
                    </w:rPr>
                  </w:pPr>
                </w:p>
              </w:tc>
            </w:tr>
          </w:tbl>
          <w:p>
            <w:pPr>
              <w:pStyle w:val="8"/>
              <w:adjustRightInd w:val="0"/>
              <w:snapToGrid w:val="0"/>
              <w:spacing w:before="120" w:beforeLines="50" w:line="360" w:lineRule="auto"/>
              <w:ind w:firstLine="482" w:firstLineChars="200"/>
              <w:rPr>
                <w:rFonts w:ascii="Times New Roman" w:hAnsi="Times New Roman" w:eastAsia="宋体"/>
                <w:b/>
                <w:bCs/>
              </w:rPr>
            </w:pPr>
            <w:r>
              <w:rPr>
                <w:rFonts w:hint="eastAsia" w:ascii="Times New Roman" w:hAnsi="Times New Roman" w:eastAsia="宋体"/>
                <w:b/>
                <w:bCs/>
              </w:rPr>
              <w:t>（3）接管可行性分析</w:t>
            </w:r>
          </w:p>
          <w:p>
            <w:pPr>
              <w:autoSpaceDE w:val="0"/>
              <w:autoSpaceDN w:val="0"/>
              <w:adjustRightInd w:val="0"/>
              <w:snapToGrid w:val="0"/>
              <w:spacing w:line="360" w:lineRule="auto"/>
              <w:ind w:firstLine="480" w:firstLineChars="200"/>
              <w:rPr>
                <w:sz w:val="24"/>
              </w:rPr>
            </w:pPr>
            <w:r>
              <w:rPr>
                <w:rFonts w:hint="eastAsia"/>
                <w:sz w:val="24"/>
              </w:rPr>
              <w:t>①废水水质可行性分析</w:t>
            </w:r>
          </w:p>
          <w:p>
            <w:pPr>
              <w:autoSpaceDE w:val="0"/>
              <w:autoSpaceDN w:val="0"/>
              <w:adjustRightInd w:val="0"/>
              <w:snapToGrid w:val="0"/>
              <w:spacing w:line="360" w:lineRule="auto"/>
              <w:ind w:firstLine="480" w:firstLineChars="200"/>
              <w:rPr>
                <w:sz w:val="24"/>
              </w:rPr>
            </w:pPr>
            <w:r>
              <w:rPr>
                <w:rFonts w:hint="eastAsia"/>
                <w:sz w:val="24"/>
              </w:rPr>
              <w:t>项目废水中主要含有COD、SS、NH</w:t>
            </w:r>
            <w:r>
              <w:rPr>
                <w:rFonts w:hint="eastAsia"/>
                <w:sz w:val="24"/>
                <w:vertAlign w:val="subscript"/>
              </w:rPr>
              <w:t>3</w:t>
            </w:r>
            <w:r>
              <w:rPr>
                <w:rFonts w:hint="eastAsia"/>
                <w:sz w:val="24"/>
              </w:rPr>
              <w:t>-N、TP等常规指标，</w:t>
            </w:r>
            <w:r>
              <w:rPr>
                <w:rFonts w:hint="eastAsia"/>
                <w:sz w:val="24"/>
                <w:lang w:val="en-US" w:eastAsia="zh-CN"/>
              </w:rPr>
              <w:t>生活污水</w:t>
            </w:r>
            <w:r>
              <w:rPr>
                <w:sz w:val="24"/>
              </w:rPr>
              <w:t>接管</w:t>
            </w:r>
            <w:r>
              <w:rPr>
                <w:rFonts w:hint="eastAsia"/>
                <w:sz w:val="24"/>
              </w:rPr>
              <w:t>浓度为</w:t>
            </w:r>
            <w:r>
              <w:rPr>
                <w:sz w:val="24"/>
              </w:rPr>
              <w:t>COD</w:t>
            </w:r>
            <w:r>
              <w:rPr>
                <w:rFonts w:hint="eastAsia"/>
                <w:sz w:val="24"/>
                <w:lang w:val="en-US" w:eastAsia="zh-CN"/>
              </w:rPr>
              <w:t>380</w:t>
            </w:r>
            <w:r>
              <w:rPr>
                <w:sz w:val="24"/>
              </w:rPr>
              <w:t>mg/L、SS</w:t>
            </w:r>
            <w:r>
              <w:rPr>
                <w:rFonts w:hint="eastAsia"/>
                <w:sz w:val="24"/>
                <w:lang w:val="en-US" w:eastAsia="zh-CN"/>
              </w:rPr>
              <w:t>260</w:t>
            </w:r>
            <w:r>
              <w:rPr>
                <w:sz w:val="24"/>
              </w:rPr>
              <w:t>mg/L、氨氮3</w:t>
            </w:r>
            <w:r>
              <w:rPr>
                <w:rFonts w:hint="eastAsia"/>
                <w:sz w:val="24"/>
              </w:rPr>
              <w:t>0</w:t>
            </w:r>
            <w:r>
              <w:rPr>
                <w:sz w:val="24"/>
              </w:rPr>
              <w:t>mg/L、总磷3mg/L、TN50mg/L，</w:t>
            </w:r>
            <w:r>
              <w:rPr>
                <w:rFonts w:hint="eastAsia"/>
                <w:sz w:val="24"/>
                <w:lang w:val="en-US" w:eastAsia="zh-CN"/>
              </w:rPr>
              <w:t>清洗废水</w:t>
            </w:r>
            <w:r>
              <w:rPr>
                <w:sz w:val="24"/>
              </w:rPr>
              <w:t>接管</w:t>
            </w:r>
            <w:r>
              <w:rPr>
                <w:rFonts w:hint="eastAsia"/>
                <w:sz w:val="24"/>
              </w:rPr>
              <w:t>浓度为</w:t>
            </w:r>
            <w:r>
              <w:rPr>
                <w:sz w:val="24"/>
              </w:rPr>
              <w:t>COD</w:t>
            </w:r>
            <w:r>
              <w:rPr>
                <w:rFonts w:hint="eastAsia"/>
                <w:sz w:val="24"/>
                <w:lang w:val="en-US" w:eastAsia="zh-CN"/>
              </w:rPr>
              <w:t>80</w:t>
            </w:r>
            <w:r>
              <w:rPr>
                <w:sz w:val="24"/>
              </w:rPr>
              <w:t>mg/L、SS</w:t>
            </w:r>
            <w:r>
              <w:rPr>
                <w:rFonts w:hint="eastAsia"/>
                <w:sz w:val="24"/>
                <w:lang w:val="en-US" w:eastAsia="zh-CN"/>
              </w:rPr>
              <w:t>220</w:t>
            </w:r>
            <w:r>
              <w:rPr>
                <w:sz w:val="24"/>
              </w:rPr>
              <w:t>mg/L</w:t>
            </w:r>
            <w:r>
              <w:rPr>
                <w:rFonts w:hint="eastAsia"/>
                <w:sz w:val="24"/>
                <w:lang w:eastAsia="zh-CN"/>
              </w:rPr>
              <w:t>，</w:t>
            </w:r>
            <w:r>
              <w:rPr>
                <w:rFonts w:hint="eastAsia"/>
                <w:sz w:val="24"/>
                <w:lang w:val="en-US" w:eastAsia="zh-CN"/>
              </w:rPr>
              <w:t>反渗透浓水</w:t>
            </w:r>
            <w:r>
              <w:rPr>
                <w:sz w:val="24"/>
              </w:rPr>
              <w:t>接管</w:t>
            </w:r>
            <w:r>
              <w:rPr>
                <w:rFonts w:hint="eastAsia"/>
                <w:sz w:val="24"/>
              </w:rPr>
              <w:t>浓度为</w:t>
            </w:r>
            <w:r>
              <w:rPr>
                <w:sz w:val="24"/>
              </w:rPr>
              <w:t>COD</w:t>
            </w:r>
            <w:r>
              <w:rPr>
                <w:rFonts w:hint="eastAsia"/>
                <w:sz w:val="24"/>
                <w:lang w:val="en-US" w:eastAsia="zh-CN"/>
              </w:rPr>
              <w:t>50</w:t>
            </w:r>
            <w:r>
              <w:rPr>
                <w:sz w:val="24"/>
              </w:rPr>
              <w:t>mg/L、SS</w:t>
            </w:r>
            <w:r>
              <w:rPr>
                <w:rFonts w:hint="eastAsia"/>
                <w:sz w:val="24"/>
                <w:lang w:val="en-US" w:eastAsia="zh-CN"/>
              </w:rPr>
              <w:t>40</w:t>
            </w:r>
            <w:r>
              <w:rPr>
                <w:sz w:val="24"/>
              </w:rPr>
              <w:t>mg/L</w:t>
            </w:r>
            <w:r>
              <w:rPr>
                <w:rFonts w:hint="eastAsia"/>
                <w:sz w:val="24"/>
                <w:lang w:eastAsia="zh-CN"/>
              </w:rPr>
              <w:t>，</w:t>
            </w:r>
            <w:r>
              <w:rPr>
                <w:sz w:val="24"/>
              </w:rPr>
              <w:t>均可达到接管标准，可生化性好，污水处理厂对本项目废水去除效果较好，能做到达标排放，目前项目所在地污水管网已经铺设到位。因此，从工程角度上，项目生活污水具备接管可行性。</w:t>
            </w:r>
          </w:p>
          <w:p>
            <w:pPr>
              <w:adjustRightInd w:val="0"/>
              <w:snapToGrid w:val="0"/>
              <w:spacing w:line="360" w:lineRule="auto"/>
              <w:ind w:firstLine="480" w:firstLineChars="200"/>
              <w:rPr>
                <w:sz w:val="24"/>
              </w:rPr>
            </w:pPr>
            <w:r>
              <w:rPr>
                <w:rFonts w:hint="eastAsia"/>
                <w:sz w:val="24"/>
              </w:rPr>
              <w:t>②</w:t>
            </w:r>
            <w:r>
              <w:rPr>
                <w:sz w:val="24"/>
              </w:rPr>
              <w:t>污水处理厂处理负荷可行性分析</w:t>
            </w:r>
          </w:p>
          <w:p>
            <w:pPr>
              <w:adjustRightInd w:val="0"/>
              <w:snapToGrid w:val="0"/>
              <w:spacing w:line="360" w:lineRule="auto"/>
              <w:ind w:firstLine="480" w:firstLineChars="200"/>
              <w:rPr>
                <w:sz w:val="24"/>
              </w:rPr>
            </w:pPr>
            <w:r>
              <w:rPr>
                <w:sz w:val="24"/>
              </w:rPr>
              <w:t>金坛区第二污水处理厂一期建设规模2万m</w:t>
            </w:r>
            <w:r>
              <w:rPr>
                <w:sz w:val="24"/>
                <w:vertAlign w:val="superscript"/>
              </w:rPr>
              <w:t>3</w:t>
            </w:r>
            <w:r>
              <w:rPr>
                <w:sz w:val="24"/>
              </w:rPr>
              <w:t>/d，于2005年底建成运营；二期2万m</w:t>
            </w:r>
            <w:r>
              <w:rPr>
                <w:sz w:val="24"/>
                <w:vertAlign w:val="superscript"/>
              </w:rPr>
              <w:t>3</w:t>
            </w:r>
            <w:r>
              <w:rPr>
                <w:sz w:val="24"/>
              </w:rPr>
              <w:t>/d，已于2009年底正式投入运营；三期2万m</w:t>
            </w:r>
            <w:r>
              <w:rPr>
                <w:sz w:val="24"/>
                <w:vertAlign w:val="superscript"/>
              </w:rPr>
              <w:t>3</w:t>
            </w:r>
            <w:r>
              <w:rPr>
                <w:sz w:val="24"/>
              </w:rPr>
              <w:t>/d，已于2014年4月8日取得原金坛市环保局的环评批复。目前金坛区第二污水处理厂处理能力已达6万m</w:t>
            </w:r>
            <w:r>
              <w:rPr>
                <w:sz w:val="24"/>
                <w:vertAlign w:val="superscript"/>
              </w:rPr>
              <w:t>3</w:t>
            </w:r>
            <w:r>
              <w:rPr>
                <w:sz w:val="24"/>
              </w:rPr>
              <w:t>/d，实际污水处理量为5.5万m</w:t>
            </w:r>
            <w:r>
              <w:rPr>
                <w:sz w:val="24"/>
                <w:vertAlign w:val="superscript"/>
              </w:rPr>
              <w:t>3</w:t>
            </w:r>
            <w:r>
              <w:rPr>
                <w:sz w:val="24"/>
              </w:rPr>
              <w:t>/d，尚有0.5万m</w:t>
            </w:r>
            <w:r>
              <w:rPr>
                <w:sz w:val="24"/>
                <w:vertAlign w:val="superscript"/>
              </w:rPr>
              <w:t>3</w:t>
            </w:r>
            <w:r>
              <w:rPr>
                <w:sz w:val="24"/>
              </w:rPr>
              <w:t>/d的余量，且规划建设规模为16万m</w:t>
            </w:r>
            <w:r>
              <w:rPr>
                <w:sz w:val="24"/>
                <w:vertAlign w:val="superscript"/>
              </w:rPr>
              <w:t>3</w:t>
            </w:r>
            <w:r>
              <w:rPr>
                <w:sz w:val="24"/>
              </w:rPr>
              <w:t>/d。</w:t>
            </w:r>
          </w:p>
          <w:p>
            <w:pPr>
              <w:adjustRightInd w:val="0"/>
              <w:snapToGrid w:val="0"/>
              <w:spacing w:line="360" w:lineRule="auto"/>
              <w:ind w:firstLine="480" w:firstLineChars="200"/>
              <w:rPr>
                <w:sz w:val="24"/>
              </w:rPr>
            </w:pPr>
            <w:r>
              <w:rPr>
                <w:sz w:val="24"/>
              </w:rPr>
              <w:t>本项目建成后污水排放量为</w:t>
            </w:r>
            <w:r>
              <w:rPr>
                <w:rFonts w:hint="eastAsia"/>
                <w:sz w:val="24"/>
                <w:lang w:val="en-US" w:eastAsia="zh-CN"/>
              </w:rPr>
              <w:t>1.27</w:t>
            </w:r>
            <w:r>
              <w:rPr>
                <w:sz w:val="24"/>
              </w:rPr>
              <w:t>m</w:t>
            </w:r>
            <w:r>
              <w:rPr>
                <w:sz w:val="24"/>
                <w:vertAlign w:val="superscript"/>
              </w:rPr>
              <w:t>3</w:t>
            </w:r>
            <w:r>
              <w:rPr>
                <w:sz w:val="24"/>
              </w:rPr>
              <w:t>/d，占金坛区第二污水处理厂处理余量的比例较小，仅0.0</w:t>
            </w:r>
            <w:r>
              <w:rPr>
                <w:rFonts w:hint="eastAsia"/>
                <w:sz w:val="24"/>
                <w:lang w:val="en-US" w:eastAsia="zh-CN"/>
              </w:rPr>
              <w:t>25</w:t>
            </w:r>
            <w:r>
              <w:rPr>
                <w:sz w:val="24"/>
              </w:rPr>
              <w:t>%。因此，从水量分析，金坛区第二污水处理厂接纳本项目废水是可行的。</w:t>
            </w:r>
          </w:p>
          <w:p>
            <w:pPr>
              <w:pStyle w:val="10"/>
              <w:spacing w:line="360" w:lineRule="auto"/>
              <w:ind w:left="0" w:leftChars="0" w:right="0" w:rightChars="0" w:firstLine="480"/>
              <w:rPr>
                <w:color w:val="auto"/>
                <w:sz w:val="24"/>
              </w:rPr>
            </w:pPr>
            <w:r>
              <w:rPr>
                <w:rFonts w:hint="eastAsia"/>
                <w:color w:val="auto"/>
                <w:sz w:val="24"/>
              </w:rPr>
              <w:t>③</w:t>
            </w:r>
            <w:r>
              <w:rPr>
                <w:color w:val="auto"/>
                <w:sz w:val="24"/>
              </w:rPr>
              <w:t>污水处理厂处理工艺可行性分析</w:t>
            </w:r>
          </w:p>
          <w:p>
            <w:pPr>
              <w:pStyle w:val="10"/>
              <w:spacing w:line="360" w:lineRule="auto"/>
              <w:ind w:left="0" w:leftChars="0" w:right="0" w:rightChars="0" w:firstLine="480"/>
              <w:rPr>
                <w:color w:val="auto"/>
                <w:sz w:val="24"/>
              </w:rPr>
            </w:pPr>
            <w:r>
              <w:rPr>
                <w:color w:val="auto"/>
                <w:sz w:val="24"/>
              </w:rPr>
              <w:t>金坛区第二污水处理厂采用A</w:t>
            </w:r>
            <w:r>
              <w:rPr>
                <w:color w:val="auto"/>
                <w:sz w:val="24"/>
                <w:vertAlign w:val="superscript"/>
              </w:rPr>
              <w:t>2</w:t>
            </w:r>
            <w:r>
              <w:rPr>
                <w:color w:val="auto"/>
                <w:sz w:val="24"/>
              </w:rPr>
              <w:t>/O工艺，把除磷、脱氮和降解有机物三个生化过程结合起来，在厌氧段和缺氧段为除磷和脱氮提供各自不同的反应条件。污水处理厂尾水执行《城镇污水处理厂污染物排放标准》（GB18918-2002）一级A标准及《太湖地区城镇污水处理厂及重点工业行业重要水污染物排放限值》（DB32/1072-2018）标准，排入尧塘河。具体工艺流程见下图。</w:t>
            </w:r>
          </w:p>
          <w:p>
            <w:pPr>
              <w:spacing w:line="360" w:lineRule="auto"/>
              <w:jc w:val="center"/>
              <w:rPr>
                <w:b/>
                <w:sz w:val="24"/>
              </w:rPr>
            </w:pPr>
            <w:r>
              <w:rPr>
                <w:color w:val="0000FF"/>
              </w:rPr>
              <w:object>
                <v:shape id="_x0000_i1025" o:spt="75" type="#_x0000_t75" style="height:136.35pt;width:418.8pt;" o:ole="t" filled="f" o:preferrelative="t" stroked="f" coordsize="21600,21600">
                  <v:path/>
                  <v:fill on="f" focussize="0,0"/>
                  <v:stroke on="f"/>
                  <v:imagedata r:id="rId16" o:title=""/>
                  <o:lock v:ext="edit" aspectratio="t"/>
                  <w10:wrap type="none"/>
                  <w10:anchorlock/>
                </v:shape>
                <o:OLEObject Type="Embed" ProgID="Visio.Drawing.11" ShapeID="_x0000_i1025" DrawAspect="Content" ObjectID="_1468075725" r:id="rId15">
                  <o:LockedField>false</o:LockedField>
                </o:OLEObject>
              </w:object>
            </w:r>
            <w:r>
              <w:rPr>
                <w:b/>
                <w:sz w:val="24"/>
              </w:rPr>
              <w:t>图4-</w:t>
            </w:r>
            <w:r>
              <w:rPr>
                <w:rFonts w:hint="eastAsia"/>
                <w:b/>
                <w:sz w:val="24"/>
                <w:lang w:val="en-US" w:eastAsia="zh-CN"/>
              </w:rPr>
              <w:t>1</w:t>
            </w:r>
            <w:r>
              <w:rPr>
                <w:b/>
                <w:sz w:val="24"/>
              </w:rPr>
              <w:t xml:space="preserve"> </w:t>
            </w:r>
            <w:r>
              <w:rPr>
                <w:rFonts w:hint="eastAsia"/>
                <w:b/>
                <w:sz w:val="24"/>
              </w:rPr>
              <w:t xml:space="preserve"> </w:t>
            </w:r>
            <w:r>
              <w:rPr>
                <w:b/>
                <w:sz w:val="24"/>
              </w:rPr>
              <w:t>金坛区第二污水处理厂处理工艺流程图</w:t>
            </w:r>
          </w:p>
          <w:p>
            <w:pPr>
              <w:pStyle w:val="10"/>
              <w:spacing w:line="360" w:lineRule="auto"/>
              <w:ind w:left="0" w:leftChars="0" w:right="0" w:rightChars="0" w:firstLine="480"/>
              <w:rPr>
                <w:color w:val="auto"/>
                <w:sz w:val="24"/>
              </w:rPr>
            </w:pPr>
            <w:r>
              <w:rPr>
                <w:color w:val="auto"/>
                <w:sz w:val="24"/>
              </w:rPr>
              <w:t>污水处理工艺简述：废水经过粗格栅隔去除尺寸较大的杂质由进水泵房的污水泵将污水经细格栅打入旋流沉砂池。污水经过沉砂后进入A</w:t>
            </w:r>
            <w:r>
              <w:rPr>
                <w:color w:val="auto"/>
                <w:sz w:val="24"/>
                <w:vertAlign w:val="superscript"/>
              </w:rPr>
              <w:t>2</w:t>
            </w:r>
            <w:r>
              <w:rPr>
                <w:color w:val="auto"/>
                <w:sz w:val="24"/>
              </w:rPr>
              <w:t>/O反应池进行生化处理，通过厌氧、缺氧和好氧交替变化的环境完成除磷脱氮，处理后废水经加氯接触消毒后排放。A</w:t>
            </w:r>
            <w:r>
              <w:rPr>
                <w:color w:val="auto"/>
                <w:sz w:val="24"/>
                <w:vertAlign w:val="superscript"/>
              </w:rPr>
              <w:t>2</w:t>
            </w:r>
            <w:r>
              <w:rPr>
                <w:color w:val="auto"/>
                <w:sz w:val="24"/>
              </w:rPr>
              <w:t>/O反应池剩余污泥从沉淀区排出，进入污泥均质池（回流污泥泵房），然后进入污泥浓缩脱水车间采用板框压滤机压成泥饼外运。污泥处理产生的废水返回到废水处理工艺流程，尾水处理达标后排入尧塘河。</w:t>
            </w:r>
          </w:p>
          <w:p>
            <w:pPr>
              <w:pStyle w:val="10"/>
              <w:spacing w:line="360" w:lineRule="auto"/>
              <w:ind w:left="0" w:leftChars="0" w:right="0" w:rightChars="0" w:firstLine="480"/>
              <w:rPr>
                <w:color w:val="auto"/>
                <w:sz w:val="24"/>
              </w:rPr>
            </w:pPr>
            <w:r>
              <w:rPr>
                <w:color w:val="auto"/>
                <w:sz w:val="24"/>
              </w:rPr>
              <w:t>本项目废水主要污染物为COD、SS、NH</w:t>
            </w:r>
            <w:r>
              <w:rPr>
                <w:color w:val="auto"/>
                <w:sz w:val="24"/>
                <w:vertAlign w:val="subscript"/>
              </w:rPr>
              <w:t>3</w:t>
            </w:r>
            <w:r>
              <w:rPr>
                <w:color w:val="auto"/>
                <w:sz w:val="24"/>
              </w:rPr>
              <w:t>-N、TP和TN，水质简单，可生化性好，从废水排放达标分析结果可知，废水水质满足金坛区第二污水处理厂接管水质要求。即从处理工艺上接管可行。此外，本项目外排废水中不含生产废水，满足《江苏省太湖水污染防治条例》的有关规定。</w:t>
            </w:r>
          </w:p>
          <w:p>
            <w:pPr>
              <w:pStyle w:val="10"/>
              <w:spacing w:line="360" w:lineRule="auto"/>
              <w:ind w:left="0" w:leftChars="0" w:right="0" w:rightChars="0" w:firstLine="480"/>
              <w:jc w:val="left"/>
              <w:rPr>
                <w:rFonts w:hint="eastAsia"/>
                <w:b/>
                <w:bCs/>
                <w:sz w:val="24"/>
              </w:rPr>
            </w:pPr>
            <w:r>
              <w:rPr>
                <w:color w:val="auto"/>
                <w:sz w:val="24"/>
              </w:rPr>
              <w:t>本项目生活污水经</w:t>
            </w:r>
            <w:r>
              <w:rPr>
                <w:rFonts w:hint="eastAsia"/>
                <w:color w:val="auto"/>
                <w:sz w:val="24"/>
              </w:rPr>
              <w:t>化粪池预处理后接管至</w:t>
            </w:r>
            <w:r>
              <w:rPr>
                <w:color w:val="auto"/>
                <w:sz w:val="24"/>
              </w:rPr>
              <w:t>第二污水处理厂处理</w:t>
            </w:r>
            <w:r>
              <w:rPr>
                <w:rFonts w:hint="eastAsia"/>
                <w:color w:val="auto"/>
                <w:sz w:val="24"/>
              </w:rPr>
              <w:t>，处理后尾水</w:t>
            </w:r>
            <w:r>
              <w:rPr>
                <w:color w:val="auto"/>
                <w:sz w:val="24"/>
              </w:rPr>
              <w:t>排放至尧塘河。引用金坛区第二污水处理厂的环评结论，废水经金坛区第二污水处理厂处理后对尧塘河的影响较小。</w:t>
            </w:r>
          </w:p>
          <w:p>
            <w:pPr>
              <w:pStyle w:val="5"/>
              <w:adjustRightInd w:val="0"/>
              <w:snapToGrid w:val="0"/>
              <w:spacing w:line="360" w:lineRule="auto"/>
              <w:ind w:firstLine="482"/>
              <w:rPr>
                <w:b/>
                <w:bCs/>
                <w:sz w:val="24"/>
              </w:rPr>
            </w:pPr>
            <w:r>
              <w:rPr>
                <w:rFonts w:hint="eastAsia"/>
                <w:b/>
                <w:bCs/>
                <w:sz w:val="24"/>
              </w:rPr>
              <w:t>（4）</w:t>
            </w:r>
            <w:r>
              <w:rPr>
                <w:b/>
                <w:bCs/>
                <w:sz w:val="24"/>
              </w:rPr>
              <w:t>环境监测</w:t>
            </w:r>
          </w:p>
          <w:p>
            <w:pPr>
              <w:pStyle w:val="5"/>
              <w:adjustRightInd w:val="0"/>
              <w:snapToGrid w:val="0"/>
              <w:spacing w:line="360" w:lineRule="auto"/>
              <w:ind w:firstLine="480"/>
              <w:rPr>
                <w:b/>
                <w:kern w:val="0"/>
                <w:sz w:val="24"/>
              </w:rPr>
            </w:pPr>
            <w:r>
              <w:rPr>
                <w:sz w:val="24"/>
              </w:rPr>
              <w:t>根据《</w:t>
            </w:r>
            <w:r>
              <w:rPr>
                <w:rFonts w:hint="eastAsia"/>
                <w:sz w:val="24"/>
              </w:rPr>
              <w:t>排污单位自行监测技术指南 总则</w:t>
            </w:r>
            <w:r>
              <w:rPr>
                <w:sz w:val="24"/>
              </w:rPr>
              <w:t>》（HJ</w:t>
            </w:r>
            <w:r>
              <w:rPr>
                <w:rFonts w:hint="eastAsia"/>
                <w:sz w:val="24"/>
              </w:rPr>
              <w:t>819-2017</w:t>
            </w:r>
            <w:r>
              <w:rPr>
                <w:sz w:val="24"/>
              </w:rPr>
              <w:t>）中相关要求，建设单位废水例行监测计划和验收检测方案详见下表。</w:t>
            </w:r>
          </w:p>
          <w:p>
            <w:pPr>
              <w:pStyle w:val="5"/>
              <w:ind w:firstLine="0" w:firstLineChars="0"/>
              <w:jc w:val="center"/>
              <w:rPr>
                <w:b/>
                <w:sz w:val="24"/>
              </w:rPr>
            </w:pPr>
            <w:r>
              <w:rPr>
                <w:b/>
                <w:kern w:val="0"/>
                <w:sz w:val="24"/>
              </w:rPr>
              <w:t>表4-</w:t>
            </w:r>
            <w:r>
              <w:rPr>
                <w:rFonts w:hint="eastAsia"/>
                <w:b/>
                <w:kern w:val="0"/>
                <w:sz w:val="24"/>
                <w:lang w:val="en-US" w:eastAsia="zh-CN"/>
              </w:rPr>
              <w:t>4</w:t>
            </w:r>
            <w:r>
              <w:rPr>
                <w:b/>
                <w:kern w:val="0"/>
                <w:sz w:val="24"/>
              </w:rPr>
              <w:t xml:space="preserve"> </w:t>
            </w:r>
            <w:r>
              <w:rPr>
                <w:rFonts w:hint="eastAsia"/>
                <w:b/>
                <w:kern w:val="0"/>
                <w:sz w:val="24"/>
              </w:rPr>
              <w:t xml:space="preserve"> </w:t>
            </w:r>
            <w:r>
              <w:rPr>
                <w:b/>
                <w:kern w:val="0"/>
                <w:sz w:val="24"/>
              </w:rPr>
              <w:t>污染源监测计划</w:t>
            </w:r>
          </w:p>
          <w:tbl>
            <w:tblPr>
              <w:tblStyle w:val="23"/>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073"/>
              <w:gridCol w:w="1065"/>
              <w:gridCol w:w="1552"/>
              <w:gridCol w:w="2775"/>
              <w:gridCol w:w="10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2" w:type="pct"/>
                  <w:noWrap w:val="0"/>
                  <w:vAlign w:val="center"/>
                </w:tcPr>
                <w:p>
                  <w:pPr>
                    <w:jc w:val="center"/>
                    <w:rPr>
                      <w:b/>
                      <w:szCs w:val="21"/>
                    </w:rPr>
                  </w:pPr>
                  <w:r>
                    <w:rPr>
                      <w:b/>
                      <w:szCs w:val="21"/>
                    </w:rPr>
                    <w:t>类型</w:t>
                  </w:r>
                </w:p>
              </w:tc>
              <w:tc>
                <w:tcPr>
                  <w:tcW w:w="641" w:type="pct"/>
                  <w:noWrap w:val="0"/>
                  <w:vAlign w:val="center"/>
                </w:tcPr>
                <w:p>
                  <w:pPr>
                    <w:jc w:val="center"/>
                    <w:rPr>
                      <w:b/>
                      <w:szCs w:val="21"/>
                    </w:rPr>
                  </w:pPr>
                  <w:r>
                    <w:rPr>
                      <w:b/>
                      <w:szCs w:val="21"/>
                    </w:rPr>
                    <w:t>监测项目</w:t>
                  </w:r>
                </w:p>
              </w:tc>
              <w:tc>
                <w:tcPr>
                  <w:tcW w:w="636" w:type="pct"/>
                  <w:noWrap w:val="0"/>
                  <w:vAlign w:val="center"/>
                </w:tcPr>
                <w:p>
                  <w:pPr>
                    <w:jc w:val="center"/>
                    <w:rPr>
                      <w:b/>
                      <w:szCs w:val="21"/>
                    </w:rPr>
                  </w:pPr>
                  <w:r>
                    <w:rPr>
                      <w:b/>
                      <w:szCs w:val="21"/>
                    </w:rPr>
                    <w:t>监测位置</w:t>
                  </w:r>
                </w:p>
              </w:tc>
              <w:tc>
                <w:tcPr>
                  <w:tcW w:w="927" w:type="pct"/>
                  <w:noWrap w:val="0"/>
                  <w:vAlign w:val="center"/>
                </w:tcPr>
                <w:p>
                  <w:pPr>
                    <w:jc w:val="center"/>
                    <w:rPr>
                      <w:b/>
                      <w:szCs w:val="21"/>
                    </w:rPr>
                  </w:pPr>
                  <w:r>
                    <w:rPr>
                      <w:b/>
                      <w:szCs w:val="21"/>
                    </w:rPr>
                    <w:t>检测点位</w:t>
                  </w:r>
                </w:p>
              </w:tc>
              <w:tc>
                <w:tcPr>
                  <w:tcW w:w="1657" w:type="pct"/>
                  <w:noWrap w:val="0"/>
                  <w:vAlign w:val="center"/>
                </w:tcPr>
                <w:p>
                  <w:pPr>
                    <w:jc w:val="center"/>
                    <w:rPr>
                      <w:b/>
                      <w:szCs w:val="21"/>
                    </w:rPr>
                  </w:pPr>
                  <w:r>
                    <w:rPr>
                      <w:b/>
                      <w:szCs w:val="21"/>
                    </w:rPr>
                    <w:t>监测因子</w:t>
                  </w:r>
                </w:p>
              </w:tc>
              <w:tc>
                <w:tcPr>
                  <w:tcW w:w="624" w:type="pct"/>
                  <w:noWrap w:val="0"/>
                  <w:vAlign w:val="center"/>
                </w:tcPr>
                <w:p>
                  <w:pPr>
                    <w:jc w:val="center"/>
                    <w:rPr>
                      <w:b/>
                      <w:szCs w:val="21"/>
                    </w:rPr>
                  </w:pPr>
                  <w:r>
                    <w:rPr>
                      <w:b/>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2" w:type="pct"/>
                  <w:vMerge w:val="restart"/>
                  <w:noWrap w:val="0"/>
                  <w:vAlign w:val="center"/>
                </w:tcPr>
                <w:p>
                  <w:pPr>
                    <w:jc w:val="center"/>
                    <w:rPr>
                      <w:szCs w:val="21"/>
                    </w:rPr>
                  </w:pPr>
                  <w:r>
                    <w:rPr>
                      <w:szCs w:val="21"/>
                    </w:rPr>
                    <w:t>例行监测计划</w:t>
                  </w:r>
                </w:p>
              </w:tc>
              <w:tc>
                <w:tcPr>
                  <w:tcW w:w="641" w:type="pct"/>
                  <w:vMerge w:val="restart"/>
                  <w:noWrap w:val="0"/>
                  <w:vAlign w:val="center"/>
                </w:tcPr>
                <w:p>
                  <w:pPr>
                    <w:jc w:val="center"/>
                    <w:rPr>
                      <w:szCs w:val="21"/>
                    </w:rPr>
                  </w:pPr>
                  <w:r>
                    <w:rPr>
                      <w:szCs w:val="21"/>
                    </w:rPr>
                    <w:t>废水监测</w:t>
                  </w:r>
                </w:p>
              </w:tc>
              <w:tc>
                <w:tcPr>
                  <w:tcW w:w="636" w:type="pct"/>
                  <w:noWrap w:val="0"/>
                  <w:vAlign w:val="center"/>
                </w:tcPr>
                <w:p>
                  <w:pPr>
                    <w:jc w:val="center"/>
                    <w:rPr>
                      <w:szCs w:val="21"/>
                    </w:rPr>
                  </w:pPr>
                  <w:r>
                    <w:rPr>
                      <w:szCs w:val="21"/>
                    </w:rPr>
                    <w:t>生活污水</w:t>
                  </w:r>
                </w:p>
              </w:tc>
              <w:tc>
                <w:tcPr>
                  <w:tcW w:w="927" w:type="pct"/>
                  <w:noWrap w:val="0"/>
                  <w:vAlign w:val="center"/>
                </w:tcPr>
                <w:p>
                  <w:pPr>
                    <w:jc w:val="center"/>
                    <w:rPr>
                      <w:szCs w:val="21"/>
                    </w:rPr>
                  </w:pPr>
                  <w:r>
                    <w:rPr>
                      <w:szCs w:val="21"/>
                    </w:rPr>
                    <w:t>厂区总排放口</w:t>
                  </w:r>
                </w:p>
              </w:tc>
              <w:tc>
                <w:tcPr>
                  <w:tcW w:w="1657" w:type="pct"/>
                  <w:noWrap w:val="0"/>
                  <w:vAlign w:val="center"/>
                </w:tcPr>
                <w:p>
                  <w:pPr>
                    <w:jc w:val="center"/>
                    <w:rPr>
                      <w:szCs w:val="21"/>
                    </w:rPr>
                  </w:pPr>
                  <w:r>
                    <w:rPr>
                      <w:szCs w:val="21"/>
                    </w:rPr>
                    <w:t>pH值、悬浮物、化学需氧量、氨氮、总磷、总氮</w:t>
                  </w:r>
                </w:p>
              </w:tc>
              <w:tc>
                <w:tcPr>
                  <w:tcW w:w="624" w:type="pct"/>
                  <w:noWrap w:val="0"/>
                  <w:vAlign w:val="center"/>
                </w:tcPr>
                <w:p>
                  <w:pPr>
                    <w:jc w:val="center"/>
                    <w:rPr>
                      <w:rFonts w:hint="eastAsia"/>
                      <w:szCs w:val="21"/>
                    </w:rPr>
                  </w:pPr>
                  <w:r>
                    <w:rPr>
                      <w:szCs w:val="21"/>
                    </w:rPr>
                    <w:t>1次/</w:t>
                  </w:r>
                  <w:r>
                    <w:rPr>
                      <w:rFonts w:hint="eastAsia"/>
                      <w:szCs w:val="21"/>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2" w:type="pct"/>
                  <w:vMerge w:val="continue"/>
                  <w:noWrap w:val="0"/>
                  <w:vAlign w:val="center"/>
                </w:tcPr>
                <w:p>
                  <w:pPr>
                    <w:jc w:val="center"/>
                    <w:rPr>
                      <w:szCs w:val="21"/>
                    </w:rPr>
                  </w:pPr>
                </w:p>
              </w:tc>
              <w:tc>
                <w:tcPr>
                  <w:tcW w:w="641" w:type="pct"/>
                  <w:vMerge w:val="continue"/>
                  <w:noWrap w:val="0"/>
                  <w:vAlign w:val="center"/>
                </w:tcPr>
                <w:p>
                  <w:pPr>
                    <w:jc w:val="center"/>
                    <w:rPr>
                      <w:szCs w:val="21"/>
                    </w:rPr>
                  </w:pPr>
                </w:p>
              </w:tc>
              <w:tc>
                <w:tcPr>
                  <w:tcW w:w="636" w:type="pct"/>
                  <w:noWrap w:val="0"/>
                  <w:vAlign w:val="center"/>
                </w:tcPr>
                <w:p>
                  <w:pPr>
                    <w:jc w:val="center"/>
                    <w:rPr>
                      <w:rFonts w:hint="eastAsia"/>
                      <w:szCs w:val="21"/>
                    </w:rPr>
                  </w:pPr>
                  <w:r>
                    <w:rPr>
                      <w:rFonts w:hint="eastAsia"/>
                      <w:szCs w:val="21"/>
                    </w:rPr>
                    <w:t>雨水</w:t>
                  </w:r>
                </w:p>
              </w:tc>
              <w:tc>
                <w:tcPr>
                  <w:tcW w:w="927" w:type="pct"/>
                  <w:noWrap w:val="0"/>
                  <w:vAlign w:val="center"/>
                </w:tcPr>
                <w:p>
                  <w:pPr>
                    <w:jc w:val="center"/>
                    <w:rPr>
                      <w:rFonts w:hint="eastAsia"/>
                      <w:szCs w:val="21"/>
                    </w:rPr>
                  </w:pPr>
                  <w:r>
                    <w:rPr>
                      <w:rFonts w:hint="eastAsia"/>
                      <w:szCs w:val="21"/>
                    </w:rPr>
                    <w:t>厂区雨水排口</w:t>
                  </w:r>
                </w:p>
              </w:tc>
              <w:tc>
                <w:tcPr>
                  <w:tcW w:w="1657" w:type="pct"/>
                  <w:noWrap w:val="0"/>
                  <w:vAlign w:val="center"/>
                </w:tcPr>
                <w:p>
                  <w:pPr>
                    <w:jc w:val="center"/>
                    <w:rPr>
                      <w:szCs w:val="21"/>
                    </w:rPr>
                  </w:pPr>
                  <w:r>
                    <w:rPr>
                      <w:rFonts w:hint="eastAsia"/>
                      <w:szCs w:val="21"/>
                    </w:rPr>
                    <w:t>COD、SS</w:t>
                  </w:r>
                </w:p>
              </w:tc>
              <w:tc>
                <w:tcPr>
                  <w:tcW w:w="624" w:type="pct"/>
                  <w:noWrap w:val="0"/>
                  <w:vAlign w:val="center"/>
                </w:tcPr>
                <w:p>
                  <w:pPr>
                    <w:jc w:val="center"/>
                    <w:rPr>
                      <w:szCs w:val="21"/>
                    </w:rPr>
                  </w:pPr>
                  <w:r>
                    <w:rPr>
                      <w:rFonts w:hint="eastAsia"/>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2" w:type="pct"/>
                  <w:vMerge w:val="restart"/>
                  <w:noWrap w:val="0"/>
                  <w:vAlign w:val="center"/>
                </w:tcPr>
                <w:p>
                  <w:pPr>
                    <w:jc w:val="center"/>
                    <w:rPr>
                      <w:szCs w:val="21"/>
                    </w:rPr>
                  </w:pPr>
                  <w:r>
                    <w:rPr>
                      <w:szCs w:val="21"/>
                    </w:rPr>
                    <w:t>验收监测方案</w:t>
                  </w:r>
                </w:p>
              </w:tc>
              <w:tc>
                <w:tcPr>
                  <w:tcW w:w="641" w:type="pct"/>
                  <w:vMerge w:val="restart"/>
                  <w:noWrap w:val="0"/>
                  <w:vAlign w:val="center"/>
                </w:tcPr>
                <w:p>
                  <w:pPr>
                    <w:jc w:val="center"/>
                    <w:rPr>
                      <w:szCs w:val="21"/>
                    </w:rPr>
                  </w:pPr>
                  <w:r>
                    <w:rPr>
                      <w:szCs w:val="21"/>
                    </w:rPr>
                    <w:t>废水监测</w:t>
                  </w:r>
                </w:p>
              </w:tc>
              <w:tc>
                <w:tcPr>
                  <w:tcW w:w="636" w:type="pct"/>
                  <w:noWrap w:val="0"/>
                  <w:vAlign w:val="center"/>
                </w:tcPr>
                <w:p>
                  <w:pPr>
                    <w:jc w:val="center"/>
                    <w:rPr>
                      <w:szCs w:val="21"/>
                    </w:rPr>
                  </w:pPr>
                  <w:r>
                    <w:rPr>
                      <w:szCs w:val="21"/>
                    </w:rPr>
                    <w:t>生活污水</w:t>
                  </w:r>
                </w:p>
              </w:tc>
              <w:tc>
                <w:tcPr>
                  <w:tcW w:w="927" w:type="pct"/>
                  <w:noWrap w:val="0"/>
                  <w:vAlign w:val="center"/>
                </w:tcPr>
                <w:p>
                  <w:pPr>
                    <w:jc w:val="center"/>
                    <w:rPr>
                      <w:szCs w:val="21"/>
                    </w:rPr>
                  </w:pPr>
                  <w:r>
                    <w:rPr>
                      <w:szCs w:val="21"/>
                    </w:rPr>
                    <w:t>厂区总排放口</w:t>
                  </w:r>
                </w:p>
              </w:tc>
              <w:tc>
                <w:tcPr>
                  <w:tcW w:w="1657" w:type="pct"/>
                  <w:noWrap w:val="0"/>
                  <w:vAlign w:val="center"/>
                </w:tcPr>
                <w:p>
                  <w:pPr>
                    <w:jc w:val="center"/>
                    <w:rPr>
                      <w:szCs w:val="21"/>
                    </w:rPr>
                  </w:pPr>
                  <w:r>
                    <w:rPr>
                      <w:szCs w:val="21"/>
                    </w:rPr>
                    <w:t>pH值、悬浮物、化学需氧量、氨氮、总磷、总氮</w:t>
                  </w:r>
                </w:p>
              </w:tc>
              <w:tc>
                <w:tcPr>
                  <w:tcW w:w="624" w:type="pct"/>
                  <w:vMerge w:val="restart"/>
                  <w:noWrap w:val="0"/>
                  <w:vAlign w:val="center"/>
                </w:tcPr>
                <w:p>
                  <w:pPr>
                    <w:jc w:val="center"/>
                    <w:rPr>
                      <w:szCs w:val="21"/>
                    </w:rPr>
                  </w:pPr>
                  <w:r>
                    <w:rPr>
                      <w:szCs w:val="21"/>
                    </w:rPr>
                    <w:t>4次/天，连续2天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2" w:type="pct"/>
                  <w:vMerge w:val="continue"/>
                  <w:noWrap w:val="0"/>
                  <w:vAlign w:val="center"/>
                </w:tcPr>
                <w:p>
                  <w:pPr>
                    <w:jc w:val="center"/>
                    <w:rPr>
                      <w:szCs w:val="21"/>
                    </w:rPr>
                  </w:pPr>
                </w:p>
              </w:tc>
              <w:tc>
                <w:tcPr>
                  <w:tcW w:w="641" w:type="pct"/>
                  <w:vMerge w:val="continue"/>
                  <w:noWrap w:val="0"/>
                  <w:vAlign w:val="center"/>
                </w:tcPr>
                <w:p>
                  <w:pPr>
                    <w:jc w:val="center"/>
                    <w:rPr>
                      <w:szCs w:val="21"/>
                    </w:rPr>
                  </w:pPr>
                </w:p>
              </w:tc>
              <w:tc>
                <w:tcPr>
                  <w:tcW w:w="636" w:type="pct"/>
                  <w:noWrap w:val="0"/>
                  <w:vAlign w:val="center"/>
                </w:tcPr>
                <w:p>
                  <w:pPr>
                    <w:jc w:val="center"/>
                    <w:rPr>
                      <w:rFonts w:hint="eastAsia"/>
                      <w:szCs w:val="21"/>
                    </w:rPr>
                  </w:pPr>
                  <w:r>
                    <w:rPr>
                      <w:rFonts w:hint="eastAsia"/>
                      <w:szCs w:val="21"/>
                    </w:rPr>
                    <w:t>雨水</w:t>
                  </w:r>
                </w:p>
              </w:tc>
              <w:tc>
                <w:tcPr>
                  <w:tcW w:w="927" w:type="pct"/>
                  <w:noWrap w:val="0"/>
                  <w:vAlign w:val="center"/>
                </w:tcPr>
                <w:p>
                  <w:pPr>
                    <w:jc w:val="center"/>
                    <w:rPr>
                      <w:rFonts w:hint="eastAsia"/>
                      <w:szCs w:val="21"/>
                    </w:rPr>
                  </w:pPr>
                  <w:r>
                    <w:rPr>
                      <w:rFonts w:hint="eastAsia"/>
                      <w:szCs w:val="21"/>
                    </w:rPr>
                    <w:t>厂区雨水排口</w:t>
                  </w:r>
                </w:p>
              </w:tc>
              <w:tc>
                <w:tcPr>
                  <w:tcW w:w="1657" w:type="pct"/>
                  <w:noWrap w:val="0"/>
                  <w:vAlign w:val="center"/>
                </w:tcPr>
                <w:p>
                  <w:pPr>
                    <w:jc w:val="center"/>
                    <w:rPr>
                      <w:szCs w:val="21"/>
                    </w:rPr>
                  </w:pPr>
                  <w:r>
                    <w:rPr>
                      <w:rFonts w:hint="eastAsia"/>
                      <w:szCs w:val="21"/>
                    </w:rPr>
                    <w:t>COD、SS</w:t>
                  </w:r>
                </w:p>
              </w:tc>
              <w:tc>
                <w:tcPr>
                  <w:tcW w:w="624" w:type="pct"/>
                  <w:vMerge w:val="continue"/>
                  <w:noWrap w:val="0"/>
                  <w:vAlign w:val="center"/>
                </w:tcPr>
                <w:p>
                  <w:pPr>
                    <w:jc w:val="center"/>
                    <w:rPr>
                      <w:szCs w:val="21"/>
                    </w:rPr>
                  </w:pPr>
                </w:p>
              </w:tc>
            </w:tr>
          </w:tbl>
          <w:p>
            <w:pPr>
              <w:pStyle w:val="5"/>
              <w:adjustRightInd w:val="0"/>
              <w:snapToGrid w:val="0"/>
              <w:spacing w:before="120" w:beforeLines="50" w:line="360" w:lineRule="auto"/>
              <w:ind w:firstLine="482"/>
              <w:rPr>
                <w:b/>
                <w:bCs/>
                <w:sz w:val="24"/>
              </w:rPr>
            </w:pPr>
            <w:r>
              <w:rPr>
                <w:rFonts w:hint="eastAsia"/>
                <w:b/>
                <w:bCs/>
                <w:sz w:val="24"/>
              </w:rPr>
              <w:t>（5）</w:t>
            </w:r>
            <w:r>
              <w:rPr>
                <w:b/>
                <w:bCs/>
                <w:sz w:val="24"/>
              </w:rPr>
              <w:t>结论</w:t>
            </w:r>
          </w:p>
          <w:p>
            <w:pPr>
              <w:pStyle w:val="40"/>
              <w:adjustRightInd w:val="0"/>
              <w:snapToGrid w:val="0"/>
              <w:spacing w:line="360" w:lineRule="auto"/>
              <w:ind w:firstLine="480"/>
              <w:jc w:val="both"/>
              <w:rPr>
                <w:rFonts w:eastAsia="宋体"/>
              </w:rPr>
            </w:pPr>
            <w:r>
              <w:rPr>
                <w:rFonts w:eastAsia="宋体"/>
              </w:rPr>
              <w:t>综上</w:t>
            </w:r>
            <w:r>
              <w:rPr>
                <w:rFonts w:hint="eastAsia" w:eastAsia="宋体"/>
              </w:rPr>
              <w:t>所述</w:t>
            </w:r>
            <w:r>
              <w:rPr>
                <w:rFonts w:eastAsia="宋体"/>
              </w:rPr>
              <w:t>，项目污水水质</w:t>
            </w:r>
            <w:r>
              <w:rPr>
                <w:rFonts w:hint="eastAsia" w:eastAsia="宋体"/>
              </w:rPr>
              <w:t>能够</w:t>
            </w:r>
            <w:r>
              <w:rPr>
                <w:rFonts w:eastAsia="宋体"/>
              </w:rPr>
              <w:t>达</w:t>
            </w:r>
            <w:r>
              <w:rPr>
                <w:rFonts w:hint="eastAsia" w:eastAsia="宋体"/>
              </w:rPr>
              <w:t>金坛区第二污水处理厂接管限值和《污水排入城镇下水道水质标准》（GB/T31962-2015）表1中B等级标准，金坛区第二污水处理厂</w:t>
            </w:r>
            <w:r>
              <w:rPr>
                <w:rFonts w:eastAsia="宋体"/>
              </w:rPr>
              <w:t>尾水中氨氮和总磷达到《太湖地区城镇污水处理厂及重点工业行业主要水污染物排放限值》（DB32/1072-2018）表2标准，其他污染物达到《城镇污水处理厂污染物排放标准》（GB18918-2002）表1中的一级A标准</w:t>
            </w:r>
            <w:r>
              <w:rPr>
                <w:rFonts w:hint="eastAsia" w:eastAsia="宋体"/>
              </w:rPr>
              <w:t>，纳污水体尧塘河</w:t>
            </w:r>
            <w:r>
              <w:rPr>
                <w:rFonts w:eastAsia="宋体"/>
              </w:rPr>
              <w:t>《地表水环境质量标准》（GB3838-2002）中</w:t>
            </w:r>
            <w:r>
              <w:rPr>
                <w:rFonts w:hint="eastAsia" w:eastAsia="宋体"/>
              </w:rPr>
              <w:t>IV</w:t>
            </w:r>
            <w:r>
              <w:rPr>
                <w:rFonts w:eastAsia="宋体"/>
              </w:rPr>
              <w:t>类标准</w:t>
            </w:r>
            <w:r>
              <w:rPr>
                <w:rFonts w:hint="eastAsia" w:eastAsia="宋体"/>
              </w:rPr>
              <w:t>（其中</w:t>
            </w:r>
            <w:r>
              <w:rPr>
                <w:rFonts w:eastAsia="宋体"/>
              </w:rPr>
              <w:t>SS满足水利部《地表水资源质量标准》（SL63-94）中四级标准</w:t>
            </w:r>
            <w:r>
              <w:rPr>
                <w:rFonts w:hint="eastAsia" w:eastAsia="宋体"/>
              </w:rPr>
              <w:t>）</w:t>
            </w:r>
            <w:r>
              <w:rPr>
                <w:rFonts w:eastAsia="宋体"/>
              </w:rPr>
              <w:t>。项目所在地已满足接管城市污水处理厂条件，引用金坛区第二污水处理厂环评结论可知，废水经污水处理厂处理达标排放后对地表水环境影响较小。因此本次评价认为本项目对地表水环境影响是可以接受的。</w:t>
            </w:r>
          </w:p>
          <w:p>
            <w:pPr>
              <w:adjustRightInd w:val="0"/>
              <w:snapToGrid w:val="0"/>
              <w:spacing w:before="120" w:beforeLines="50" w:line="360" w:lineRule="auto"/>
              <w:rPr>
                <w:rFonts w:hint="eastAsia"/>
                <w:b/>
                <w:bCs/>
                <w:sz w:val="24"/>
              </w:rPr>
            </w:pPr>
            <w:r>
              <w:rPr>
                <w:rFonts w:hint="eastAsia"/>
                <w:b/>
                <w:bCs/>
                <w:sz w:val="24"/>
              </w:rPr>
              <w:t>3、</w:t>
            </w:r>
            <w:r>
              <w:rPr>
                <w:b/>
                <w:bCs/>
                <w:sz w:val="24"/>
              </w:rPr>
              <w:t>噪声</w:t>
            </w:r>
            <w:r>
              <w:rPr>
                <w:rFonts w:hint="eastAsia"/>
                <w:b/>
                <w:bCs/>
                <w:sz w:val="24"/>
              </w:rPr>
              <w:t>环境影响分析</w:t>
            </w:r>
          </w:p>
          <w:p>
            <w:pPr>
              <w:pStyle w:val="5"/>
              <w:spacing w:line="360" w:lineRule="auto"/>
              <w:ind w:firstLine="482"/>
              <w:rPr>
                <w:b/>
                <w:bCs/>
                <w:sz w:val="24"/>
              </w:rPr>
            </w:pPr>
            <w:r>
              <w:rPr>
                <w:rFonts w:hint="eastAsia"/>
                <w:b/>
                <w:bCs/>
                <w:sz w:val="24"/>
              </w:rPr>
              <w:t>（1）</w:t>
            </w:r>
            <w:r>
              <w:rPr>
                <w:b/>
                <w:bCs/>
                <w:sz w:val="24"/>
              </w:rPr>
              <w:t>噪声源</w:t>
            </w:r>
          </w:p>
          <w:p>
            <w:pPr>
              <w:spacing w:line="360" w:lineRule="auto"/>
              <w:ind w:firstLine="465"/>
              <w:jc w:val="left"/>
              <w:rPr>
                <w:sz w:val="24"/>
              </w:rPr>
            </w:pPr>
            <w:r>
              <w:rPr>
                <w:sz w:val="24"/>
              </w:rPr>
              <w:t>本项目</w:t>
            </w:r>
            <w:r>
              <w:rPr>
                <w:rFonts w:hint="eastAsia"/>
                <w:sz w:val="24"/>
              </w:rPr>
              <w:t>高噪声设备主要为</w:t>
            </w:r>
            <w:r>
              <w:rPr>
                <w:rFonts w:hint="eastAsia"/>
                <w:sz w:val="24"/>
                <w:lang w:val="en-US" w:eastAsia="zh-CN"/>
              </w:rPr>
              <w:t>激光焊接机</w:t>
            </w:r>
            <w:r>
              <w:rPr>
                <w:rFonts w:hint="eastAsia"/>
                <w:sz w:val="24"/>
              </w:rPr>
              <w:t>、</w:t>
            </w:r>
            <w:r>
              <w:rPr>
                <w:rFonts w:hint="eastAsia"/>
                <w:sz w:val="24"/>
                <w:lang w:val="en-US" w:eastAsia="zh-CN"/>
              </w:rPr>
              <w:t>磁力研磨机</w:t>
            </w:r>
            <w:r>
              <w:rPr>
                <w:rFonts w:hint="eastAsia"/>
                <w:sz w:val="24"/>
              </w:rPr>
              <w:t>、</w:t>
            </w:r>
            <w:r>
              <w:rPr>
                <w:rFonts w:hint="eastAsia"/>
                <w:sz w:val="24"/>
                <w:lang w:val="en-US" w:eastAsia="zh-CN"/>
              </w:rPr>
              <w:t>超声波清洗机、轴线去皮机</w:t>
            </w:r>
            <w:r>
              <w:rPr>
                <w:rFonts w:hint="eastAsia"/>
                <w:sz w:val="24"/>
              </w:rPr>
              <w:t>等，</w:t>
            </w:r>
            <w:r>
              <w:rPr>
                <w:sz w:val="24"/>
              </w:rPr>
              <w:t>单台设备噪声源强为</w:t>
            </w:r>
            <w:r>
              <w:rPr>
                <w:rFonts w:hint="eastAsia"/>
                <w:sz w:val="24"/>
              </w:rPr>
              <w:t>7</w:t>
            </w:r>
            <w:r>
              <w:rPr>
                <w:rFonts w:hint="eastAsia"/>
                <w:sz w:val="24"/>
                <w:lang w:val="en-US" w:eastAsia="zh-CN"/>
              </w:rPr>
              <w:t>0</w:t>
            </w:r>
            <w:r>
              <w:rPr>
                <w:rFonts w:hint="eastAsia"/>
                <w:sz w:val="24"/>
              </w:rPr>
              <w:t>~</w:t>
            </w:r>
            <w:r>
              <w:rPr>
                <w:rFonts w:hint="eastAsia"/>
                <w:sz w:val="24"/>
                <w:lang w:val="en-US" w:eastAsia="zh-CN"/>
              </w:rPr>
              <w:t>85</w:t>
            </w:r>
            <w:r>
              <w:rPr>
                <w:sz w:val="24"/>
              </w:rPr>
              <w:t>dB（A），</w:t>
            </w:r>
            <w:r>
              <w:rPr>
                <w:rFonts w:hint="eastAsia"/>
                <w:sz w:val="24"/>
              </w:rPr>
              <w:t>项目噪声源强见表4-</w:t>
            </w:r>
            <w:r>
              <w:rPr>
                <w:rFonts w:hint="eastAsia"/>
                <w:sz w:val="24"/>
                <w:lang w:val="en-US" w:eastAsia="zh-CN"/>
              </w:rPr>
              <w:t>5</w:t>
            </w:r>
            <w:r>
              <w:rPr>
                <w:rFonts w:hint="eastAsia"/>
                <w:sz w:val="24"/>
              </w:rPr>
              <w:t>。</w:t>
            </w:r>
          </w:p>
          <w:p>
            <w:pPr>
              <w:pStyle w:val="5"/>
              <w:ind w:firstLine="0" w:firstLineChars="0"/>
              <w:jc w:val="center"/>
              <w:rPr>
                <w:b/>
                <w:kern w:val="0"/>
                <w:sz w:val="24"/>
              </w:rPr>
            </w:pPr>
            <w:r>
              <w:rPr>
                <w:b/>
                <w:kern w:val="0"/>
                <w:sz w:val="24"/>
                <w:lang w:val="zh-CN"/>
              </w:rPr>
              <w:t>表</w:t>
            </w:r>
            <w:r>
              <w:rPr>
                <w:b/>
                <w:kern w:val="0"/>
                <w:sz w:val="24"/>
              </w:rPr>
              <w:t>4-</w:t>
            </w:r>
            <w:r>
              <w:rPr>
                <w:rFonts w:hint="eastAsia"/>
                <w:b/>
                <w:kern w:val="0"/>
                <w:sz w:val="24"/>
                <w:lang w:val="en-US" w:eastAsia="zh-CN"/>
              </w:rPr>
              <w:t>5</w:t>
            </w:r>
            <w:r>
              <w:rPr>
                <w:rFonts w:hint="eastAsia"/>
                <w:b/>
                <w:kern w:val="0"/>
                <w:sz w:val="24"/>
              </w:rPr>
              <w:t xml:space="preserve"> </w:t>
            </w:r>
            <w:r>
              <w:rPr>
                <w:b/>
                <w:kern w:val="0"/>
                <w:sz w:val="24"/>
                <w:lang w:val="zh-CN"/>
              </w:rPr>
              <w:t xml:space="preserve"> 噪声源情况一览表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45"/>
              <w:gridCol w:w="1546"/>
              <w:gridCol w:w="807"/>
              <w:gridCol w:w="657"/>
              <w:gridCol w:w="426"/>
              <w:gridCol w:w="795"/>
              <w:gridCol w:w="891"/>
              <w:gridCol w:w="733"/>
              <w:gridCol w:w="426"/>
              <w:gridCol w:w="814"/>
              <w:gridCol w:w="63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0" w:type="pct"/>
                  <w:vMerge w:val="restart"/>
                  <w:noWrap w:val="0"/>
                  <w:vAlign w:val="center"/>
                </w:tcPr>
                <w:p>
                  <w:pPr>
                    <w:widowControl/>
                    <w:adjustRightInd w:val="0"/>
                    <w:ind w:right="-42" w:rightChars="-20"/>
                    <w:jc w:val="center"/>
                    <w:textAlignment w:val="baseline"/>
                    <w:rPr>
                      <w:b/>
                      <w:kern w:val="0"/>
                      <w:szCs w:val="21"/>
                    </w:rPr>
                  </w:pPr>
                  <w:r>
                    <w:rPr>
                      <w:b/>
                      <w:kern w:val="0"/>
                      <w:szCs w:val="21"/>
                    </w:rPr>
                    <w:t>工序/生产线</w:t>
                  </w:r>
                </w:p>
              </w:tc>
              <w:tc>
                <w:tcPr>
                  <w:tcW w:w="937" w:type="pct"/>
                  <w:vMerge w:val="restart"/>
                  <w:noWrap w:val="0"/>
                  <w:vAlign w:val="center"/>
                </w:tcPr>
                <w:p>
                  <w:pPr>
                    <w:widowControl/>
                    <w:adjustRightInd w:val="0"/>
                    <w:ind w:right="-42" w:rightChars="-20"/>
                    <w:jc w:val="center"/>
                    <w:textAlignment w:val="baseline"/>
                    <w:rPr>
                      <w:b/>
                      <w:kern w:val="0"/>
                      <w:szCs w:val="21"/>
                    </w:rPr>
                  </w:pPr>
                  <w:r>
                    <w:rPr>
                      <w:rFonts w:hint="eastAsia"/>
                      <w:b/>
                      <w:kern w:val="0"/>
                      <w:szCs w:val="21"/>
                    </w:rPr>
                    <w:t>装置</w:t>
                  </w:r>
                </w:p>
              </w:tc>
              <w:tc>
                <w:tcPr>
                  <w:tcW w:w="443" w:type="pct"/>
                  <w:vMerge w:val="restart"/>
                  <w:noWrap w:val="0"/>
                  <w:vAlign w:val="center"/>
                </w:tcPr>
                <w:p>
                  <w:pPr>
                    <w:widowControl/>
                    <w:adjustRightInd w:val="0"/>
                    <w:ind w:right="-42" w:rightChars="-20"/>
                    <w:jc w:val="center"/>
                    <w:textAlignment w:val="baseline"/>
                    <w:rPr>
                      <w:rFonts w:hint="eastAsia" w:eastAsia="宋体"/>
                      <w:b/>
                      <w:kern w:val="0"/>
                      <w:szCs w:val="21"/>
                      <w:lang w:eastAsia="zh-CN"/>
                    </w:rPr>
                  </w:pPr>
                  <w:r>
                    <w:rPr>
                      <w:b/>
                      <w:kern w:val="0"/>
                      <w:szCs w:val="21"/>
                    </w:rPr>
                    <w:t>噪声源</w:t>
                  </w:r>
                  <w:r>
                    <w:rPr>
                      <w:rFonts w:hint="eastAsia"/>
                      <w:b/>
                      <w:kern w:val="0"/>
                      <w:szCs w:val="21"/>
                      <w:lang w:eastAsia="zh-CN"/>
                    </w:rPr>
                    <w:t>（台）</w:t>
                  </w:r>
                </w:p>
              </w:tc>
              <w:tc>
                <w:tcPr>
                  <w:tcW w:w="407" w:type="pct"/>
                  <w:vMerge w:val="restart"/>
                  <w:noWrap w:val="0"/>
                  <w:vAlign w:val="center"/>
                </w:tcPr>
                <w:p>
                  <w:pPr>
                    <w:widowControl/>
                    <w:adjustRightInd w:val="0"/>
                    <w:ind w:right="-42" w:rightChars="-20"/>
                    <w:jc w:val="center"/>
                    <w:textAlignment w:val="baseline"/>
                    <w:rPr>
                      <w:b/>
                      <w:kern w:val="0"/>
                      <w:szCs w:val="21"/>
                    </w:rPr>
                  </w:pPr>
                  <w:r>
                    <w:rPr>
                      <w:b/>
                      <w:kern w:val="0"/>
                      <w:szCs w:val="21"/>
                    </w:rPr>
                    <w:t>声源类型</w:t>
                  </w:r>
                </w:p>
              </w:tc>
              <w:tc>
                <w:tcPr>
                  <w:tcW w:w="758" w:type="pct"/>
                  <w:gridSpan w:val="2"/>
                  <w:noWrap w:val="0"/>
                  <w:vAlign w:val="center"/>
                </w:tcPr>
                <w:p>
                  <w:pPr>
                    <w:widowControl/>
                    <w:adjustRightInd w:val="0"/>
                    <w:ind w:right="-42" w:rightChars="-20"/>
                    <w:jc w:val="center"/>
                    <w:textAlignment w:val="baseline"/>
                    <w:rPr>
                      <w:b/>
                      <w:kern w:val="0"/>
                      <w:szCs w:val="21"/>
                    </w:rPr>
                  </w:pPr>
                  <w:r>
                    <w:rPr>
                      <w:b/>
                      <w:kern w:val="0"/>
                      <w:szCs w:val="21"/>
                    </w:rPr>
                    <w:t>噪声源强</w:t>
                  </w:r>
                </w:p>
              </w:tc>
              <w:tc>
                <w:tcPr>
                  <w:tcW w:w="998" w:type="pct"/>
                  <w:gridSpan w:val="2"/>
                  <w:noWrap w:val="0"/>
                  <w:vAlign w:val="center"/>
                </w:tcPr>
                <w:p>
                  <w:pPr>
                    <w:widowControl/>
                    <w:adjustRightInd w:val="0"/>
                    <w:ind w:right="-42" w:rightChars="-20"/>
                    <w:jc w:val="center"/>
                    <w:textAlignment w:val="baseline"/>
                    <w:rPr>
                      <w:b/>
                      <w:kern w:val="0"/>
                      <w:szCs w:val="21"/>
                    </w:rPr>
                  </w:pPr>
                  <w:r>
                    <w:rPr>
                      <w:b/>
                      <w:kern w:val="0"/>
                      <w:szCs w:val="21"/>
                    </w:rPr>
                    <w:t>降噪措施</w:t>
                  </w:r>
                </w:p>
              </w:tc>
              <w:tc>
                <w:tcPr>
                  <w:tcW w:w="769" w:type="pct"/>
                  <w:gridSpan w:val="2"/>
                  <w:noWrap w:val="0"/>
                  <w:vAlign w:val="center"/>
                </w:tcPr>
                <w:p>
                  <w:pPr>
                    <w:widowControl/>
                    <w:adjustRightInd w:val="0"/>
                    <w:ind w:right="-42" w:rightChars="-20"/>
                    <w:jc w:val="center"/>
                    <w:textAlignment w:val="baseline"/>
                    <w:rPr>
                      <w:b/>
                      <w:kern w:val="0"/>
                      <w:szCs w:val="21"/>
                    </w:rPr>
                  </w:pPr>
                  <w:r>
                    <w:rPr>
                      <w:b/>
                      <w:kern w:val="0"/>
                      <w:szCs w:val="21"/>
                    </w:rPr>
                    <w:t>噪声排放值</w:t>
                  </w:r>
                </w:p>
              </w:tc>
              <w:tc>
                <w:tcPr>
                  <w:tcW w:w="283" w:type="pct"/>
                  <w:vMerge w:val="restart"/>
                  <w:noWrap w:val="0"/>
                  <w:vAlign w:val="center"/>
                </w:tcPr>
                <w:p>
                  <w:pPr>
                    <w:widowControl/>
                    <w:adjustRightInd w:val="0"/>
                    <w:ind w:right="-42" w:rightChars="-20"/>
                    <w:jc w:val="center"/>
                    <w:textAlignment w:val="baseline"/>
                    <w:rPr>
                      <w:b/>
                      <w:kern w:val="0"/>
                      <w:szCs w:val="21"/>
                    </w:rPr>
                  </w:pPr>
                  <w:r>
                    <w:rPr>
                      <w:b/>
                      <w:kern w:val="0"/>
                      <w:szCs w:val="21"/>
                    </w:rPr>
                    <w:t>年排放时间</w:t>
                  </w:r>
                  <w:r>
                    <w:rPr>
                      <w:rFonts w:hint="eastAsia"/>
                      <w:b/>
                      <w:kern w:val="0"/>
                      <w:szCs w:val="21"/>
                    </w:rPr>
                    <w:t>h</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0" w:type="pct"/>
                  <w:vMerge w:val="continue"/>
                  <w:noWrap w:val="0"/>
                  <w:vAlign w:val="center"/>
                </w:tcPr>
                <w:p>
                  <w:pPr>
                    <w:widowControl/>
                    <w:adjustRightInd w:val="0"/>
                    <w:ind w:right="-42" w:rightChars="-20"/>
                    <w:jc w:val="center"/>
                    <w:textAlignment w:val="baseline"/>
                    <w:rPr>
                      <w:kern w:val="0"/>
                      <w:szCs w:val="21"/>
                    </w:rPr>
                  </w:pPr>
                </w:p>
              </w:tc>
              <w:tc>
                <w:tcPr>
                  <w:tcW w:w="937" w:type="pct"/>
                  <w:vMerge w:val="continue"/>
                  <w:noWrap w:val="0"/>
                  <w:vAlign w:val="center"/>
                </w:tcPr>
                <w:p>
                  <w:pPr>
                    <w:widowControl/>
                    <w:adjustRightInd w:val="0"/>
                    <w:ind w:right="-42" w:rightChars="-20"/>
                    <w:jc w:val="center"/>
                    <w:textAlignment w:val="baseline"/>
                    <w:rPr>
                      <w:kern w:val="0"/>
                      <w:szCs w:val="21"/>
                    </w:rPr>
                  </w:pPr>
                </w:p>
              </w:tc>
              <w:tc>
                <w:tcPr>
                  <w:tcW w:w="443" w:type="pct"/>
                  <w:vMerge w:val="continue"/>
                  <w:noWrap w:val="0"/>
                  <w:vAlign w:val="center"/>
                </w:tcPr>
                <w:p>
                  <w:pPr>
                    <w:widowControl/>
                    <w:adjustRightInd w:val="0"/>
                    <w:ind w:right="-42" w:rightChars="-20"/>
                    <w:jc w:val="center"/>
                    <w:textAlignment w:val="baseline"/>
                    <w:rPr>
                      <w:kern w:val="0"/>
                      <w:szCs w:val="21"/>
                    </w:rPr>
                  </w:pPr>
                </w:p>
              </w:tc>
              <w:tc>
                <w:tcPr>
                  <w:tcW w:w="407" w:type="pct"/>
                  <w:vMerge w:val="continue"/>
                  <w:noWrap w:val="0"/>
                  <w:vAlign w:val="center"/>
                </w:tcPr>
                <w:p>
                  <w:pPr>
                    <w:widowControl/>
                    <w:adjustRightInd w:val="0"/>
                    <w:ind w:right="-42" w:rightChars="-20"/>
                    <w:jc w:val="center"/>
                    <w:textAlignment w:val="baseline"/>
                    <w:rPr>
                      <w:kern w:val="0"/>
                      <w:szCs w:val="21"/>
                    </w:rPr>
                  </w:pPr>
                </w:p>
              </w:tc>
              <w:tc>
                <w:tcPr>
                  <w:tcW w:w="269" w:type="pct"/>
                  <w:noWrap w:val="0"/>
                  <w:vAlign w:val="center"/>
                </w:tcPr>
                <w:p>
                  <w:pPr>
                    <w:widowControl/>
                    <w:adjustRightInd w:val="0"/>
                    <w:ind w:right="-42" w:rightChars="-20"/>
                    <w:jc w:val="center"/>
                    <w:textAlignment w:val="baseline"/>
                    <w:rPr>
                      <w:b/>
                      <w:kern w:val="0"/>
                      <w:szCs w:val="21"/>
                    </w:rPr>
                  </w:pPr>
                  <w:r>
                    <w:rPr>
                      <w:b/>
                      <w:kern w:val="0"/>
                      <w:szCs w:val="21"/>
                    </w:rPr>
                    <w:t>核算方法</w:t>
                  </w:r>
                </w:p>
              </w:tc>
              <w:tc>
                <w:tcPr>
                  <w:tcW w:w="489" w:type="pct"/>
                  <w:noWrap w:val="0"/>
                  <w:vAlign w:val="center"/>
                </w:tcPr>
                <w:p>
                  <w:pPr>
                    <w:widowControl/>
                    <w:adjustRightInd w:val="0"/>
                    <w:ind w:right="-42" w:rightChars="-20"/>
                    <w:jc w:val="center"/>
                    <w:textAlignment w:val="baseline"/>
                    <w:rPr>
                      <w:rFonts w:hint="default" w:eastAsia="宋体"/>
                      <w:b/>
                      <w:kern w:val="0"/>
                      <w:szCs w:val="21"/>
                      <w:lang w:val="en-US" w:eastAsia="zh-CN"/>
                    </w:rPr>
                  </w:pPr>
                  <w:r>
                    <w:rPr>
                      <w:b/>
                      <w:kern w:val="0"/>
                      <w:szCs w:val="21"/>
                    </w:rPr>
                    <w:t>噪声值</w:t>
                  </w:r>
                  <w:r>
                    <w:rPr>
                      <w:rFonts w:hint="eastAsia"/>
                      <w:b/>
                      <w:kern w:val="0"/>
                      <w:szCs w:val="21"/>
                      <w:lang w:val="en-US" w:eastAsia="zh-CN"/>
                    </w:rPr>
                    <w:t>dB(A)</w:t>
                  </w:r>
                </w:p>
              </w:tc>
              <w:tc>
                <w:tcPr>
                  <w:tcW w:w="546" w:type="pct"/>
                  <w:noWrap w:val="0"/>
                  <w:vAlign w:val="center"/>
                </w:tcPr>
                <w:p>
                  <w:pPr>
                    <w:widowControl/>
                    <w:adjustRightInd w:val="0"/>
                    <w:ind w:right="-42" w:rightChars="-20"/>
                    <w:jc w:val="center"/>
                    <w:textAlignment w:val="baseline"/>
                    <w:rPr>
                      <w:b/>
                      <w:kern w:val="0"/>
                      <w:szCs w:val="21"/>
                    </w:rPr>
                  </w:pPr>
                  <w:r>
                    <w:rPr>
                      <w:b/>
                      <w:kern w:val="0"/>
                      <w:szCs w:val="21"/>
                    </w:rPr>
                    <w:t>工艺</w:t>
                  </w:r>
                </w:p>
              </w:tc>
              <w:tc>
                <w:tcPr>
                  <w:tcW w:w="452" w:type="pct"/>
                  <w:noWrap w:val="0"/>
                  <w:vAlign w:val="center"/>
                </w:tcPr>
                <w:p>
                  <w:pPr>
                    <w:widowControl/>
                    <w:adjustRightInd w:val="0"/>
                    <w:ind w:right="-42" w:rightChars="-20"/>
                    <w:jc w:val="center"/>
                    <w:textAlignment w:val="baseline"/>
                    <w:rPr>
                      <w:b/>
                      <w:kern w:val="0"/>
                      <w:szCs w:val="21"/>
                    </w:rPr>
                  </w:pPr>
                  <w:r>
                    <w:rPr>
                      <w:b/>
                      <w:kern w:val="0"/>
                      <w:szCs w:val="21"/>
                    </w:rPr>
                    <w:t>降噪效果</w:t>
                  </w:r>
                  <w:r>
                    <w:rPr>
                      <w:rFonts w:hint="eastAsia"/>
                      <w:b/>
                      <w:kern w:val="0"/>
                      <w:szCs w:val="21"/>
                      <w:lang w:val="en-US" w:eastAsia="zh-CN"/>
                    </w:rPr>
                    <w:t>dB</w:t>
                  </w:r>
                </w:p>
              </w:tc>
              <w:tc>
                <w:tcPr>
                  <w:tcW w:w="261" w:type="pct"/>
                  <w:noWrap w:val="0"/>
                  <w:vAlign w:val="center"/>
                </w:tcPr>
                <w:p>
                  <w:pPr>
                    <w:widowControl/>
                    <w:adjustRightInd w:val="0"/>
                    <w:ind w:right="-42" w:rightChars="-20"/>
                    <w:jc w:val="center"/>
                    <w:textAlignment w:val="baseline"/>
                    <w:rPr>
                      <w:b/>
                      <w:kern w:val="0"/>
                      <w:szCs w:val="21"/>
                    </w:rPr>
                  </w:pPr>
                  <w:r>
                    <w:rPr>
                      <w:b/>
                      <w:kern w:val="0"/>
                      <w:szCs w:val="21"/>
                    </w:rPr>
                    <w:t>核算方法</w:t>
                  </w:r>
                </w:p>
              </w:tc>
              <w:tc>
                <w:tcPr>
                  <w:tcW w:w="508" w:type="pct"/>
                  <w:noWrap w:val="0"/>
                  <w:vAlign w:val="center"/>
                </w:tcPr>
                <w:p>
                  <w:pPr>
                    <w:widowControl/>
                    <w:adjustRightInd w:val="0"/>
                    <w:ind w:right="-42" w:rightChars="-20"/>
                    <w:jc w:val="center"/>
                    <w:textAlignment w:val="baseline"/>
                    <w:rPr>
                      <w:b/>
                      <w:kern w:val="0"/>
                      <w:szCs w:val="21"/>
                    </w:rPr>
                  </w:pPr>
                  <w:r>
                    <w:rPr>
                      <w:b/>
                      <w:kern w:val="0"/>
                      <w:szCs w:val="21"/>
                    </w:rPr>
                    <w:t>噪声值</w:t>
                  </w:r>
                  <w:r>
                    <w:rPr>
                      <w:rFonts w:hint="eastAsia"/>
                      <w:b/>
                      <w:kern w:val="0"/>
                      <w:szCs w:val="21"/>
                      <w:lang w:val="en-US" w:eastAsia="zh-CN"/>
                    </w:rPr>
                    <w:t>dB(A)</w:t>
                  </w:r>
                </w:p>
              </w:tc>
              <w:tc>
                <w:tcPr>
                  <w:tcW w:w="283" w:type="pct"/>
                  <w:vMerge w:val="continue"/>
                  <w:noWrap w:val="0"/>
                  <w:vAlign w:val="center"/>
                </w:tcPr>
                <w:p>
                  <w:pPr>
                    <w:widowControl/>
                    <w:adjustRightInd w:val="0"/>
                    <w:ind w:right="-42" w:rightChars="-20"/>
                    <w:jc w:val="center"/>
                    <w:textAlignment w:val="baseline"/>
                    <w:rPr>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0" w:type="pct"/>
                  <w:vMerge w:val="restar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生产车间</w:t>
                  </w:r>
                </w:p>
              </w:tc>
              <w:tc>
                <w:tcPr>
                  <w:tcW w:w="937"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激光焊接机</w:t>
                  </w:r>
                </w:p>
              </w:tc>
              <w:tc>
                <w:tcPr>
                  <w:tcW w:w="443" w:type="pct"/>
                  <w:noWrap w:val="0"/>
                  <w:vAlign w:val="center"/>
                </w:tcPr>
                <w:p>
                  <w:pPr>
                    <w:widowControl/>
                    <w:adjustRightInd w:val="0"/>
                    <w:ind w:right="-42" w:rightChars="-20"/>
                    <w:jc w:val="center"/>
                    <w:textAlignment w:val="baseline"/>
                    <w:rPr>
                      <w:rFonts w:hint="eastAsia" w:ascii="Times New Roman" w:hAnsi="Times New Roman" w:eastAsia="宋体" w:cs="Times New Roman"/>
                      <w:szCs w:val="21"/>
                      <w:lang w:val="en-US" w:eastAsia="zh-CN"/>
                    </w:rPr>
                  </w:pPr>
                  <w:r>
                    <w:rPr>
                      <w:rFonts w:hint="eastAsia"/>
                      <w:kern w:val="0"/>
                      <w:szCs w:val="21"/>
                      <w:lang w:val="en-US" w:eastAsia="zh-CN"/>
                    </w:rPr>
                    <w:t>8</w:t>
                  </w:r>
                </w:p>
              </w:tc>
              <w:tc>
                <w:tcPr>
                  <w:tcW w:w="407"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频发</w:t>
                  </w:r>
                </w:p>
              </w:tc>
              <w:tc>
                <w:tcPr>
                  <w:tcW w:w="269" w:type="pct"/>
                  <w:vMerge w:val="restar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类</w:t>
                  </w:r>
                </w:p>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比</w:t>
                  </w:r>
                </w:p>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法</w:t>
                  </w:r>
                </w:p>
              </w:tc>
              <w:tc>
                <w:tcPr>
                  <w:tcW w:w="811" w:type="dxa"/>
                  <w:noWrap w:val="0"/>
                  <w:vAlign w:val="center"/>
                </w:tcPr>
                <w:p>
                  <w:pPr>
                    <w:widowControl/>
                    <w:jc w:val="center"/>
                    <w:textAlignment w:val="center"/>
                    <w:rPr>
                      <w:rFonts w:hint="default" w:ascii="Times New Roman" w:hAnsi="Times New Roman" w:eastAsia="宋体" w:cs="Times New Roman"/>
                      <w:szCs w:val="21"/>
                      <w:lang w:val="en-US" w:eastAsia="zh-CN"/>
                    </w:rPr>
                  </w:pPr>
                  <w:r>
                    <w:rPr>
                      <w:rFonts w:hint="eastAsia"/>
                      <w:szCs w:val="21"/>
                      <w:lang w:val="en-US" w:eastAsia="zh-CN"/>
                    </w:rPr>
                    <w:t>75</w:t>
                  </w:r>
                </w:p>
              </w:tc>
              <w:tc>
                <w:tcPr>
                  <w:tcW w:w="546" w:type="pct"/>
                  <w:vMerge w:val="restar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合理布局+消声+减振+厂房隔声</w:t>
                  </w:r>
                </w:p>
              </w:tc>
              <w:tc>
                <w:tcPr>
                  <w:tcW w:w="452"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25</w:t>
                  </w:r>
                </w:p>
              </w:tc>
              <w:tc>
                <w:tcPr>
                  <w:tcW w:w="261" w:type="pct"/>
                  <w:vMerge w:val="restar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类比法</w:t>
                  </w:r>
                </w:p>
              </w:tc>
              <w:tc>
                <w:tcPr>
                  <w:tcW w:w="508" w:type="pct"/>
                  <w:noWrap w:val="0"/>
                  <w:vAlign w:val="center"/>
                </w:tcPr>
                <w:p>
                  <w:pPr>
                    <w:widowControl/>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50</w:t>
                  </w:r>
                </w:p>
              </w:tc>
              <w:tc>
                <w:tcPr>
                  <w:tcW w:w="283" w:type="pct"/>
                  <w:vMerge w:val="restart"/>
                  <w:noWrap w:val="0"/>
                  <w:vAlign w:val="center"/>
                </w:tcPr>
                <w:p>
                  <w:pPr>
                    <w:widowControl/>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2400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0"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c>
                <w:tcPr>
                  <w:tcW w:w="937"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磁力研磨机</w:t>
                  </w:r>
                </w:p>
              </w:tc>
              <w:tc>
                <w:tcPr>
                  <w:tcW w:w="443" w:type="pct"/>
                  <w:noWrap w:val="0"/>
                  <w:vAlign w:val="center"/>
                </w:tcPr>
                <w:p>
                  <w:pPr>
                    <w:widowControl/>
                    <w:adjustRightInd w:val="0"/>
                    <w:ind w:right="-42" w:rightChars="-20"/>
                    <w:jc w:val="center"/>
                    <w:textAlignment w:val="baseline"/>
                    <w:rPr>
                      <w:rFonts w:hint="eastAsia" w:ascii="Times New Roman" w:hAnsi="Times New Roman" w:eastAsia="宋体" w:cs="Times New Roman"/>
                      <w:szCs w:val="21"/>
                      <w:lang w:val="en-US" w:eastAsia="zh-CN"/>
                    </w:rPr>
                  </w:pPr>
                  <w:r>
                    <w:rPr>
                      <w:rFonts w:hint="eastAsia"/>
                      <w:szCs w:val="21"/>
                      <w:lang w:val="en-US" w:eastAsia="zh-CN"/>
                    </w:rPr>
                    <w:t>2</w:t>
                  </w:r>
                </w:p>
              </w:tc>
              <w:tc>
                <w:tcPr>
                  <w:tcW w:w="407"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频发</w:t>
                  </w:r>
                </w:p>
              </w:tc>
              <w:tc>
                <w:tcPr>
                  <w:tcW w:w="269"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c>
                <w:tcPr>
                  <w:tcW w:w="811" w:type="dxa"/>
                  <w:noWrap w:val="0"/>
                  <w:vAlign w:val="center"/>
                </w:tcPr>
                <w:p>
                  <w:pPr>
                    <w:widowControl/>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60</w:t>
                  </w:r>
                </w:p>
              </w:tc>
              <w:tc>
                <w:tcPr>
                  <w:tcW w:w="546"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c>
                <w:tcPr>
                  <w:tcW w:w="452"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25</w:t>
                  </w:r>
                </w:p>
              </w:tc>
              <w:tc>
                <w:tcPr>
                  <w:tcW w:w="261"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c>
                <w:tcPr>
                  <w:tcW w:w="508" w:type="pct"/>
                  <w:noWrap w:val="0"/>
                  <w:vAlign w:val="center"/>
                </w:tcPr>
                <w:p>
                  <w:pPr>
                    <w:widowControl/>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35</w:t>
                  </w:r>
                </w:p>
              </w:tc>
              <w:tc>
                <w:tcPr>
                  <w:tcW w:w="283"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0"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c>
                <w:tcPr>
                  <w:tcW w:w="937"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超声波清洗机</w:t>
                  </w:r>
                </w:p>
              </w:tc>
              <w:tc>
                <w:tcPr>
                  <w:tcW w:w="443" w:type="pct"/>
                  <w:noWrap w:val="0"/>
                  <w:vAlign w:val="center"/>
                </w:tcPr>
                <w:p>
                  <w:pPr>
                    <w:widowControl/>
                    <w:adjustRightInd w:val="0"/>
                    <w:ind w:right="-42" w:rightChars="-20"/>
                    <w:jc w:val="center"/>
                    <w:textAlignment w:val="baseline"/>
                    <w:rPr>
                      <w:rFonts w:hint="eastAsia" w:ascii="Times New Roman" w:hAnsi="Times New Roman" w:eastAsia="宋体" w:cs="Times New Roman"/>
                      <w:szCs w:val="21"/>
                      <w:lang w:val="en-US" w:eastAsia="zh-CN"/>
                    </w:rPr>
                  </w:pPr>
                  <w:r>
                    <w:rPr>
                      <w:rFonts w:hint="eastAsia"/>
                      <w:kern w:val="0"/>
                      <w:szCs w:val="21"/>
                      <w:lang w:val="en-US" w:eastAsia="zh-CN"/>
                    </w:rPr>
                    <w:t>6</w:t>
                  </w:r>
                </w:p>
              </w:tc>
              <w:tc>
                <w:tcPr>
                  <w:tcW w:w="407"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频发</w:t>
                  </w:r>
                </w:p>
              </w:tc>
              <w:tc>
                <w:tcPr>
                  <w:tcW w:w="269"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c>
                <w:tcPr>
                  <w:tcW w:w="811" w:type="dxa"/>
                  <w:noWrap w:val="0"/>
                  <w:vAlign w:val="center"/>
                </w:tcPr>
                <w:p>
                  <w:pPr>
                    <w:widowControl/>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80</w:t>
                  </w:r>
                </w:p>
              </w:tc>
              <w:tc>
                <w:tcPr>
                  <w:tcW w:w="546"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c>
                <w:tcPr>
                  <w:tcW w:w="452"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25</w:t>
                  </w:r>
                </w:p>
              </w:tc>
              <w:tc>
                <w:tcPr>
                  <w:tcW w:w="261"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c>
                <w:tcPr>
                  <w:tcW w:w="508" w:type="pct"/>
                  <w:noWrap w:val="0"/>
                  <w:vAlign w:val="center"/>
                </w:tcPr>
                <w:p>
                  <w:pPr>
                    <w:widowControl/>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55</w:t>
                  </w:r>
                </w:p>
              </w:tc>
              <w:tc>
                <w:tcPr>
                  <w:tcW w:w="283"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0"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c>
                <w:tcPr>
                  <w:tcW w:w="937"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轴线去皮机</w:t>
                  </w:r>
                </w:p>
              </w:tc>
              <w:tc>
                <w:tcPr>
                  <w:tcW w:w="443" w:type="pct"/>
                  <w:noWrap w:val="0"/>
                  <w:vAlign w:val="center"/>
                </w:tcPr>
                <w:p>
                  <w:pPr>
                    <w:widowControl/>
                    <w:adjustRightInd w:val="0"/>
                    <w:ind w:right="-42" w:rightChars="-20"/>
                    <w:jc w:val="center"/>
                    <w:textAlignment w:val="baseline"/>
                    <w:rPr>
                      <w:rFonts w:hint="eastAsia" w:ascii="Times New Roman" w:hAnsi="Times New Roman" w:eastAsia="宋体" w:cs="Times New Roman"/>
                      <w:szCs w:val="21"/>
                      <w:lang w:val="en-US" w:eastAsia="zh-CN"/>
                    </w:rPr>
                  </w:pPr>
                  <w:r>
                    <w:rPr>
                      <w:rFonts w:hint="eastAsia"/>
                      <w:kern w:val="0"/>
                      <w:szCs w:val="21"/>
                      <w:lang w:val="en-US" w:eastAsia="zh-CN"/>
                    </w:rPr>
                    <w:t>2</w:t>
                  </w:r>
                </w:p>
              </w:tc>
              <w:tc>
                <w:tcPr>
                  <w:tcW w:w="407"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频发</w:t>
                  </w:r>
                </w:p>
              </w:tc>
              <w:tc>
                <w:tcPr>
                  <w:tcW w:w="269"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c>
                <w:tcPr>
                  <w:tcW w:w="811" w:type="dxa"/>
                  <w:noWrap w:val="0"/>
                  <w:vAlign w:val="center"/>
                </w:tcPr>
                <w:p>
                  <w:pPr>
                    <w:widowControl/>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70</w:t>
                  </w:r>
                </w:p>
              </w:tc>
              <w:tc>
                <w:tcPr>
                  <w:tcW w:w="546"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c>
                <w:tcPr>
                  <w:tcW w:w="452"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25</w:t>
                  </w:r>
                </w:p>
              </w:tc>
              <w:tc>
                <w:tcPr>
                  <w:tcW w:w="261"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c>
                <w:tcPr>
                  <w:tcW w:w="508" w:type="pct"/>
                  <w:noWrap w:val="0"/>
                  <w:vAlign w:val="center"/>
                </w:tcPr>
                <w:p>
                  <w:pPr>
                    <w:widowControl/>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45</w:t>
                  </w:r>
                </w:p>
              </w:tc>
              <w:tc>
                <w:tcPr>
                  <w:tcW w:w="283"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0" w:type="pct"/>
                  <w:noWrap w:val="0"/>
                  <w:vAlign w:val="center"/>
                </w:tcPr>
                <w:p>
                  <w:pPr>
                    <w:widowControl/>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洁净车间</w:t>
                  </w:r>
                </w:p>
              </w:tc>
              <w:tc>
                <w:tcPr>
                  <w:tcW w:w="937" w:type="pct"/>
                  <w:noWrap w:val="0"/>
                  <w:vAlign w:val="center"/>
                </w:tcPr>
                <w:p>
                  <w:pPr>
                    <w:widowControl/>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风机</w:t>
                  </w:r>
                </w:p>
              </w:tc>
              <w:tc>
                <w:tcPr>
                  <w:tcW w:w="443" w:type="pct"/>
                  <w:noWrap w:val="0"/>
                  <w:vAlign w:val="center"/>
                </w:tcPr>
                <w:p>
                  <w:pPr>
                    <w:widowControl/>
                    <w:adjustRightInd w:val="0"/>
                    <w:ind w:right="-42" w:rightChars="-20"/>
                    <w:jc w:val="center"/>
                    <w:textAlignment w:val="baseline"/>
                    <w:rPr>
                      <w:rFonts w:hint="default"/>
                      <w:kern w:val="0"/>
                      <w:szCs w:val="21"/>
                      <w:lang w:val="en-US" w:eastAsia="zh-CN"/>
                    </w:rPr>
                  </w:pPr>
                  <w:r>
                    <w:rPr>
                      <w:rFonts w:hint="eastAsia"/>
                      <w:kern w:val="0"/>
                      <w:szCs w:val="21"/>
                      <w:lang w:val="en-US" w:eastAsia="zh-CN"/>
                    </w:rPr>
                    <w:t>1</w:t>
                  </w:r>
                </w:p>
              </w:tc>
              <w:tc>
                <w:tcPr>
                  <w:tcW w:w="407"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频发</w:t>
                  </w:r>
                </w:p>
              </w:tc>
              <w:tc>
                <w:tcPr>
                  <w:tcW w:w="269"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c>
                <w:tcPr>
                  <w:tcW w:w="489"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w:t>
                  </w:r>
                </w:p>
              </w:tc>
              <w:tc>
                <w:tcPr>
                  <w:tcW w:w="546"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c>
                <w:tcPr>
                  <w:tcW w:w="452" w:type="pct"/>
                  <w:noWrap w:val="0"/>
                  <w:vAlign w:val="center"/>
                </w:tcPr>
                <w:p>
                  <w:pPr>
                    <w:widowControl/>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25</w:t>
                  </w:r>
                </w:p>
              </w:tc>
              <w:tc>
                <w:tcPr>
                  <w:tcW w:w="261"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c>
                <w:tcPr>
                  <w:tcW w:w="508" w:type="pct"/>
                  <w:noWrap w:val="0"/>
                  <w:vAlign w:val="center"/>
                </w:tcPr>
                <w:p>
                  <w:pPr>
                    <w:widowControl/>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60</w:t>
                  </w:r>
                </w:p>
              </w:tc>
              <w:tc>
                <w:tcPr>
                  <w:tcW w:w="283" w:type="pct"/>
                  <w:vMerge w:val="continue"/>
                  <w:noWrap w:val="0"/>
                  <w:vAlign w:val="center"/>
                </w:tcPr>
                <w:p>
                  <w:pPr>
                    <w:widowControl/>
                    <w:jc w:val="center"/>
                    <w:textAlignment w:val="center"/>
                    <w:rPr>
                      <w:rFonts w:hint="eastAsia" w:ascii="Times New Roman" w:hAnsi="Times New Roman" w:eastAsia="宋体" w:cs="Times New Roman"/>
                      <w:szCs w:val="21"/>
                      <w:lang w:val="en-US" w:eastAsia="zh-CN"/>
                    </w:rPr>
                  </w:pPr>
                </w:p>
              </w:tc>
            </w:tr>
          </w:tbl>
          <w:p>
            <w:pPr>
              <w:widowControl/>
              <w:adjustRightInd w:val="0"/>
              <w:snapToGrid w:val="0"/>
              <w:spacing w:before="120" w:beforeLines="50" w:line="360" w:lineRule="auto"/>
              <w:ind w:firstLine="482" w:firstLineChars="200"/>
              <w:jc w:val="left"/>
              <w:rPr>
                <w:b/>
                <w:kern w:val="0"/>
                <w:sz w:val="24"/>
              </w:rPr>
            </w:pPr>
            <w:r>
              <w:rPr>
                <w:rFonts w:hint="eastAsia"/>
                <w:b/>
                <w:kern w:val="0"/>
                <w:sz w:val="24"/>
              </w:rPr>
              <w:t>（2）达标排放</w:t>
            </w:r>
          </w:p>
          <w:p>
            <w:pPr>
              <w:adjustRightInd w:val="0"/>
              <w:snapToGrid w:val="0"/>
              <w:spacing w:line="360" w:lineRule="auto"/>
              <w:ind w:firstLine="480" w:firstLineChars="200"/>
              <w:rPr>
                <w:rFonts w:hint="default" w:eastAsia="宋体"/>
                <w:b/>
                <w:bCs/>
                <w:sz w:val="24"/>
                <w:lang w:val="en-US" w:eastAsia="zh-CN"/>
              </w:rPr>
            </w:pPr>
            <w:r>
              <w:rPr>
                <w:rFonts w:hint="eastAsia"/>
                <w:color w:val="auto"/>
                <w:sz w:val="24"/>
              </w:rPr>
              <w:t>项目周边</w:t>
            </w:r>
            <w:r>
              <w:rPr>
                <w:rFonts w:hint="eastAsia"/>
                <w:color w:val="auto"/>
                <w:sz w:val="24"/>
                <w:lang w:val="en-US" w:eastAsia="zh-CN"/>
              </w:rPr>
              <w:t>200m范围内</w:t>
            </w:r>
            <w:r>
              <w:rPr>
                <w:rFonts w:hint="eastAsia"/>
                <w:color w:val="auto"/>
                <w:sz w:val="24"/>
              </w:rPr>
              <w:t>无敏感点</w:t>
            </w:r>
            <w:r>
              <w:rPr>
                <w:rFonts w:hint="eastAsia"/>
                <w:sz w:val="24"/>
              </w:rPr>
              <w:t>，因此项目运营期噪声影响选择各厂界作为关心点进行影响预测</w:t>
            </w:r>
            <w:r>
              <w:rPr>
                <w:rFonts w:hint="eastAsia"/>
                <w:sz w:val="24"/>
                <w:lang w:eastAsia="zh-CN"/>
              </w:rPr>
              <w:t>，</w:t>
            </w:r>
            <w:r>
              <w:rPr>
                <w:rFonts w:hint="eastAsia"/>
                <w:sz w:val="24"/>
                <w:lang w:val="en-US" w:eastAsia="zh-CN"/>
              </w:rPr>
              <w:t>本项目夜间不生产</w:t>
            </w:r>
            <w:r>
              <w:rPr>
                <w:rFonts w:hint="eastAsia"/>
                <w:sz w:val="24"/>
              </w:rPr>
              <w:t>。</w:t>
            </w:r>
            <w:r>
              <w:rPr>
                <w:sz w:val="24"/>
              </w:rPr>
              <w:t>根据声环境评价导则（HJ2.4-2009）的规定，选取预测模式，应用过程中将根据具体情况作必要简化，考虑噪声距离衰减和隔声措施，预测其受到的影响，厂界噪声预测结果见表4-</w:t>
            </w:r>
            <w:r>
              <w:rPr>
                <w:rFonts w:hint="eastAsia"/>
                <w:sz w:val="24"/>
                <w:lang w:val="en-US" w:eastAsia="zh-CN"/>
              </w:rPr>
              <w:t>6</w:t>
            </w:r>
            <w:r>
              <w:rPr>
                <w:sz w:val="24"/>
              </w:rPr>
              <w:t>。</w:t>
            </w:r>
          </w:p>
          <w:p>
            <w:pPr>
              <w:adjustRightInd w:val="0"/>
              <w:snapToGrid w:val="0"/>
              <w:jc w:val="center"/>
              <w:rPr>
                <w:b/>
                <w:sz w:val="24"/>
              </w:rPr>
            </w:pPr>
            <w:r>
              <w:rPr>
                <w:b/>
                <w:sz w:val="24"/>
              </w:rPr>
              <w:t>表4-</w:t>
            </w:r>
            <w:r>
              <w:rPr>
                <w:rFonts w:hint="eastAsia"/>
                <w:b/>
                <w:sz w:val="24"/>
                <w:lang w:val="en-US" w:eastAsia="zh-CN"/>
              </w:rPr>
              <w:t>6</w:t>
            </w:r>
            <w:r>
              <w:rPr>
                <w:rFonts w:hint="eastAsia"/>
                <w:b/>
                <w:sz w:val="24"/>
              </w:rPr>
              <w:t xml:space="preserve"> </w:t>
            </w:r>
            <w:r>
              <w:rPr>
                <w:b/>
                <w:sz w:val="24"/>
              </w:rPr>
              <w:t xml:space="preserve"> 厂界噪声测量结果（单位：dB（A））</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686"/>
              <w:gridCol w:w="1027"/>
              <w:gridCol w:w="892"/>
              <w:gridCol w:w="875"/>
              <w:gridCol w:w="885"/>
              <w:gridCol w:w="1031"/>
              <w:gridCol w:w="12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28" w:type="pct"/>
                  <w:noWrap w:val="0"/>
                  <w:vAlign w:val="center"/>
                </w:tcPr>
                <w:p>
                  <w:pPr>
                    <w:adjustRightInd w:val="0"/>
                    <w:snapToGrid w:val="0"/>
                    <w:jc w:val="center"/>
                    <w:rPr>
                      <w:b/>
                      <w:bCs/>
                      <w:kern w:val="0"/>
                      <w:szCs w:val="21"/>
                    </w:rPr>
                  </w:pPr>
                  <w:r>
                    <w:rPr>
                      <w:b/>
                      <w:bCs/>
                      <w:kern w:val="0"/>
                      <w:szCs w:val="21"/>
                    </w:rPr>
                    <w:t>预测点</w:t>
                  </w:r>
                </w:p>
              </w:tc>
              <w:tc>
                <w:tcPr>
                  <w:tcW w:w="1006" w:type="pct"/>
                  <w:noWrap w:val="0"/>
                  <w:vAlign w:val="center"/>
                </w:tcPr>
                <w:p>
                  <w:pPr>
                    <w:adjustRightInd w:val="0"/>
                    <w:snapToGrid w:val="0"/>
                    <w:jc w:val="center"/>
                    <w:rPr>
                      <w:b/>
                      <w:bCs/>
                      <w:kern w:val="0"/>
                      <w:szCs w:val="21"/>
                    </w:rPr>
                  </w:pPr>
                  <w:r>
                    <w:rPr>
                      <w:b/>
                      <w:bCs/>
                      <w:kern w:val="0"/>
                      <w:szCs w:val="21"/>
                    </w:rPr>
                    <w:t>噪声源</w:t>
                  </w:r>
                </w:p>
              </w:tc>
              <w:tc>
                <w:tcPr>
                  <w:tcW w:w="613" w:type="pct"/>
                  <w:noWrap w:val="0"/>
                  <w:vAlign w:val="center"/>
                </w:tcPr>
                <w:p>
                  <w:pPr>
                    <w:adjustRightInd w:val="0"/>
                    <w:snapToGrid w:val="0"/>
                    <w:jc w:val="center"/>
                    <w:rPr>
                      <w:b/>
                      <w:bCs/>
                      <w:kern w:val="0"/>
                      <w:szCs w:val="21"/>
                    </w:rPr>
                  </w:pPr>
                  <w:r>
                    <w:rPr>
                      <w:b/>
                      <w:bCs/>
                      <w:kern w:val="0"/>
                      <w:szCs w:val="21"/>
                    </w:rPr>
                    <w:t>噪声值</w:t>
                  </w:r>
                </w:p>
                <w:p>
                  <w:pPr>
                    <w:adjustRightInd w:val="0"/>
                    <w:snapToGrid w:val="0"/>
                    <w:jc w:val="center"/>
                    <w:rPr>
                      <w:b/>
                      <w:bCs/>
                      <w:kern w:val="0"/>
                      <w:szCs w:val="21"/>
                    </w:rPr>
                  </w:pPr>
                  <w:r>
                    <w:rPr>
                      <w:b/>
                      <w:bCs/>
                      <w:kern w:val="0"/>
                      <w:szCs w:val="21"/>
                    </w:rPr>
                    <w:t>(dB(A))</w:t>
                  </w:r>
                </w:p>
              </w:tc>
              <w:tc>
                <w:tcPr>
                  <w:tcW w:w="532" w:type="pct"/>
                  <w:noWrap w:val="0"/>
                  <w:vAlign w:val="center"/>
                </w:tcPr>
                <w:p>
                  <w:pPr>
                    <w:adjustRightInd w:val="0"/>
                    <w:snapToGrid w:val="0"/>
                    <w:jc w:val="center"/>
                    <w:rPr>
                      <w:rFonts w:hint="eastAsia" w:eastAsia="宋体"/>
                      <w:b/>
                      <w:bCs/>
                      <w:kern w:val="0"/>
                      <w:szCs w:val="21"/>
                      <w:lang w:eastAsia="zh-CN"/>
                    </w:rPr>
                  </w:pPr>
                  <w:r>
                    <w:rPr>
                      <w:b/>
                      <w:bCs/>
                      <w:kern w:val="0"/>
                      <w:szCs w:val="21"/>
                    </w:rPr>
                    <w:t>台数</w:t>
                  </w:r>
                  <w:r>
                    <w:rPr>
                      <w:rFonts w:hint="eastAsia"/>
                      <w:b/>
                      <w:bCs/>
                      <w:kern w:val="0"/>
                      <w:szCs w:val="21"/>
                      <w:lang w:eastAsia="zh-CN"/>
                    </w:rPr>
                    <w:t>（台）</w:t>
                  </w:r>
                </w:p>
              </w:tc>
              <w:tc>
                <w:tcPr>
                  <w:tcW w:w="522" w:type="pct"/>
                  <w:noWrap w:val="0"/>
                  <w:vAlign w:val="center"/>
                </w:tcPr>
                <w:p>
                  <w:pPr>
                    <w:adjustRightInd w:val="0"/>
                    <w:snapToGrid w:val="0"/>
                    <w:jc w:val="center"/>
                    <w:rPr>
                      <w:b/>
                      <w:bCs/>
                      <w:kern w:val="0"/>
                      <w:szCs w:val="21"/>
                    </w:rPr>
                  </w:pPr>
                  <w:r>
                    <w:rPr>
                      <w:b/>
                      <w:bCs/>
                      <w:kern w:val="0"/>
                      <w:szCs w:val="21"/>
                    </w:rPr>
                    <w:t>减振、隔声(dB)</w:t>
                  </w:r>
                </w:p>
              </w:tc>
              <w:tc>
                <w:tcPr>
                  <w:tcW w:w="528" w:type="pct"/>
                  <w:noWrap w:val="0"/>
                  <w:vAlign w:val="center"/>
                </w:tcPr>
                <w:p>
                  <w:pPr>
                    <w:adjustRightInd w:val="0"/>
                    <w:snapToGrid w:val="0"/>
                    <w:jc w:val="center"/>
                    <w:rPr>
                      <w:b/>
                      <w:bCs/>
                      <w:kern w:val="0"/>
                      <w:szCs w:val="21"/>
                    </w:rPr>
                  </w:pPr>
                  <w:r>
                    <w:rPr>
                      <w:b/>
                      <w:bCs/>
                      <w:kern w:val="0"/>
                      <w:szCs w:val="21"/>
                    </w:rPr>
                    <w:t>离厂界距离(m)</w:t>
                  </w:r>
                </w:p>
              </w:tc>
              <w:tc>
                <w:tcPr>
                  <w:tcW w:w="615" w:type="pct"/>
                  <w:noWrap w:val="0"/>
                  <w:vAlign w:val="center"/>
                </w:tcPr>
                <w:p>
                  <w:pPr>
                    <w:adjustRightInd w:val="0"/>
                    <w:snapToGrid w:val="0"/>
                    <w:jc w:val="center"/>
                    <w:rPr>
                      <w:b/>
                      <w:bCs/>
                      <w:kern w:val="0"/>
                      <w:szCs w:val="21"/>
                    </w:rPr>
                  </w:pPr>
                  <w:r>
                    <w:rPr>
                      <w:b/>
                      <w:bCs/>
                      <w:kern w:val="0"/>
                      <w:szCs w:val="21"/>
                    </w:rPr>
                    <w:t>贡献值(dB(A))</w:t>
                  </w:r>
                </w:p>
              </w:tc>
              <w:tc>
                <w:tcPr>
                  <w:tcW w:w="752" w:type="pct"/>
                  <w:noWrap w:val="0"/>
                  <w:vAlign w:val="center"/>
                </w:tcPr>
                <w:p>
                  <w:pPr>
                    <w:adjustRightInd w:val="0"/>
                    <w:snapToGrid w:val="0"/>
                    <w:jc w:val="center"/>
                    <w:rPr>
                      <w:rFonts w:hint="eastAsia"/>
                      <w:b/>
                      <w:bCs/>
                      <w:kern w:val="0"/>
                      <w:szCs w:val="21"/>
                      <w:lang w:val="en-US" w:eastAsia="zh-CN"/>
                    </w:rPr>
                  </w:pPr>
                  <w:r>
                    <w:rPr>
                      <w:rFonts w:hint="eastAsia"/>
                      <w:b/>
                      <w:bCs/>
                      <w:kern w:val="0"/>
                      <w:szCs w:val="21"/>
                      <w:lang w:val="en-US" w:eastAsia="zh-CN"/>
                    </w:rPr>
                    <w:t>叠加背景值(dB(A))</w:t>
                  </w:r>
                </w:p>
                <w:p>
                  <w:pPr>
                    <w:adjustRightInd w:val="0"/>
                    <w:snapToGrid w:val="0"/>
                    <w:jc w:val="center"/>
                    <w:rPr>
                      <w:rFonts w:hint="eastAsia" w:eastAsia="宋体"/>
                      <w:b/>
                      <w:bCs/>
                      <w:highlight w:val="yellow"/>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restart"/>
                  <w:noWrap w:val="0"/>
                  <w:vAlign w:val="center"/>
                </w:tcPr>
                <w:p>
                  <w:pPr>
                    <w:adjustRightInd w:val="0"/>
                    <w:snapToGrid w:val="0"/>
                    <w:jc w:val="center"/>
                    <w:rPr>
                      <w:szCs w:val="21"/>
                    </w:rPr>
                  </w:pPr>
                  <w:r>
                    <w:rPr>
                      <w:szCs w:val="21"/>
                    </w:rPr>
                    <w:t>东厂界</w:t>
                  </w:r>
                </w:p>
              </w:tc>
              <w:tc>
                <w:tcPr>
                  <w:tcW w:w="1006" w:type="pct"/>
                  <w:noWrap w:val="0"/>
                  <w:vAlign w:val="center"/>
                </w:tcPr>
                <w:p>
                  <w:pPr>
                    <w:widowControl/>
                    <w:jc w:val="center"/>
                    <w:textAlignment w:val="center"/>
                  </w:pPr>
                  <w:r>
                    <w:rPr>
                      <w:rFonts w:hint="eastAsia"/>
                      <w:lang w:val="en-US" w:eastAsia="zh-CN"/>
                    </w:rPr>
                    <w:t>激光焊接机</w:t>
                  </w:r>
                </w:p>
              </w:tc>
              <w:tc>
                <w:tcPr>
                  <w:tcW w:w="613" w:type="pct"/>
                  <w:noWrap w:val="0"/>
                  <w:vAlign w:val="center"/>
                </w:tcPr>
                <w:p>
                  <w:pPr>
                    <w:widowControl/>
                    <w:jc w:val="center"/>
                    <w:textAlignment w:val="center"/>
                    <w:rPr>
                      <w:rFonts w:hint="default" w:eastAsia="宋体"/>
                      <w:szCs w:val="21"/>
                      <w:lang w:val="en-US" w:eastAsia="zh-CN"/>
                    </w:rPr>
                  </w:pPr>
                  <w:r>
                    <w:rPr>
                      <w:rFonts w:hint="eastAsia"/>
                      <w:szCs w:val="21"/>
                      <w:lang w:val="en-US" w:eastAsia="zh-CN"/>
                    </w:rPr>
                    <w:t>75</w:t>
                  </w:r>
                </w:p>
              </w:tc>
              <w:tc>
                <w:tcPr>
                  <w:tcW w:w="532" w:type="pct"/>
                  <w:noWrap w:val="0"/>
                  <w:vAlign w:val="center"/>
                </w:tcPr>
                <w:p>
                  <w:pPr>
                    <w:widowControl/>
                    <w:adjustRightInd w:val="0"/>
                    <w:ind w:right="-42" w:rightChars="-20"/>
                    <w:jc w:val="center"/>
                    <w:textAlignment w:val="baseline"/>
                    <w:rPr>
                      <w:rFonts w:hint="eastAsia" w:eastAsia="宋体"/>
                      <w:szCs w:val="21"/>
                      <w:lang w:eastAsia="zh-CN"/>
                    </w:rPr>
                  </w:pPr>
                  <w:r>
                    <w:rPr>
                      <w:rFonts w:hint="eastAsia"/>
                      <w:kern w:val="0"/>
                      <w:szCs w:val="21"/>
                      <w:lang w:val="en-US" w:eastAsia="zh-CN"/>
                    </w:rPr>
                    <w:t>8</w:t>
                  </w:r>
                </w:p>
              </w:tc>
              <w:tc>
                <w:tcPr>
                  <w:tcW w:w="522" w:type="pct"/>
                  <w:noWrap w:val="0"/>
                  <w:vAlign w:val="center"/>
                </w:tcPr>
                <w:p>
                  <w:pPr>
                    <w:adjustRightInd w:val="0"/>
                    <w:snapToGrid w:val="0"/>
                    <w:jc w:val="center"/>
                    <w:rPr>
                      <w:szCs w:val="21"/>
                    </w:rPr>
                  </w:pPr>
                  <w:r>
                    <w:rPr>
                      <w:szCs w:val="21"/>
                    </w:rPr>
                    <w:t>25</w:t>
                  </w:r>
                </w:p>
              </w:tc>
              <w:tc>
                <w:tcPr>
                  <w:tcW w:w="528" w:type="pct"/>
                  <w:noWrap w:val="0"/>
                  <w:vAlign w:val="center"/>
                </w:tcPr>
                <w:p>
                  <w:pPr>
                    <w:widowControl/>
                    <w:jc w:val="center"/>
                    <w:textAlignment w:val="center"/>
                    <w:rPr>
                      <w:rFonts w:hint="default" w:eastAsia="宋体"/>
                      <w:szCs w:val="21"/>
                      <w:lang w:val="en-US" w:eastAsia="zh-CN"/>
                    </w:rPr>
                  </w:pPr>
                  <w:r>
                    <w:rPr>
                      <w:rFonts w:hint="eastAsia"/>
                      <w:kern w:val="0"/>
                      <w:szCs w:val="21"/>
                      <w:lang w:val="en-US" w:eastAsia="zh-CN" w:bidi="ar"/>
                    </w:rPr>
                    <w:t>44</w:t>
                  </w:r>
                </w:p>
              </w:tc>
              <w:tc>
                <w:tcPr>
                  <w:tcW w:w="615" w:type="pct"/>
                  <w:vMerge w:val="restart"/>
                  <w:noWrap w:val="0"/>
                  <w:vAlign w:val="center"/>
                </w:tcPr>
                <w:p>
                  <w:pPr>
                    <w:adjustRightInd w:val="0"/>
                    <w:snapToGrid w:val="0"/>
                    <w:jc w:val="center"/>
                    <w:rPr>
                      <w:rFonts w:hint="default" w:eastAsia="宋体"/>
                      <w:szCs w:val="21"/>
                      <w:lang w:val="en-US" w:eastAsia="zh-CN"/>
                    </w:rPr>
                  </w:pPr>
                  <w:r>
                    <w:rPr>
                      <w:rFonts w:hint="eastAsia"/>
                      <w:szCs w:val="21"/>
                      <w:lang w:val="en-US" w:eastAsia="zh-CN"/>
                    </w:rPr>
                    <w:t>40.28</w:t>
                  </w:r>
                </w:p>
              </w:tc>
              <w:tc>
                <w:tcPr>
                  <w:tcW w:w="752" w:type="pct"/>
                  <w:vMerge w:val="restart"/>
                  <w:noWrap w:val="0"/>
                  <w:vAlign w:val="center"/>
                </w:tcPr>
                <w:p>
                  <w:pPr>
                    <w:adjustRightInd w:val="0"/>
                    <w:snapToGrid w:val="0"/>
                    <w:jc w:val="center"/>
                    <w:rPr>
                      <w:rFonts w:hint="default"/>
                      <w:szCs w:val="21"/>
                      <w:highlight w:val="none"/>
                      <w:lang w:val="en-US" w:eastAsia="zh-CN"/>
                    </w:rPr>
                  </w:pPr>
                  <w:r>
                    <w:rPr>
                      <w:rFonts w:hint="eastAsia"/>
                      <w:szCs w:val="21"/>
                      <w:highlight w:val="none"/>
                      <w:lang w:val="en-US" w:eastAsia="zh-CN"/>
                    </w:rPr>
                    <w:t>57.09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continue"/>
                  <w:noWrap w:val="0"/>
                  <w:vAlign w:val="center"/>
                </w:tcPr>
                <w:p>
                  <w:pPr>
                    <w:adjustRightInd w:val="0"/>
                    <w:snapToGrid w:val="0"/>
                    <w:jc w:val="center"/>
                    <w:rPr>
                      <w:szCs w:val="21"/>
                    </w:rPr>
                  </w:pPr>
                </w:p>
              </w:tc>
              <w:tc>
                <w:tcPr>
                  <w:tcW w:w="1006" w:type="pct"/>
                  <w:noWrap w:val="0"/>
                  <w:vAlign w:val="center"/>
                </w:tcPr>
                <w:p>
                  <w:pPr>
                    <w:widowControl/>
                    <w:jc w:val="center"/>
                    <w:textAlignment w:val="center"/>
                  </w:pPr>
                  <w:r>
                    <w:rPr>
                      <w:rFonts w:hint="eastAsia"/>
                      <w:lang w:val="en-US" w:eastAsia="zh-CN"/>
                    </w:rPr>
                    <w:t>磁力研磨机</w:t>
                  </w:r>
                </w:p>
              </w:tc>
              <w:tc>
                <w:tcPr>
                  <w:tcW w:w="613" w:type="pct"/>
                  <w:noWrap w:val="0"/>
                  <w:vAlign w:val="center"/>
                </w:tcPr>
                <w:p>
                  <w:pPr>
                    <w:widowControl/>
                    <w:jc w:val="center"/>
                    <w:textAlignment w:val="center"/>
                    <w:rPr>
                      <w:rFonts w:hint="default"/>
                      <w:szCs w:val="21"/>
                      <w:lang w:val="en-US"/>
                    </w:rPr>
                  </w:pPr>
                  <w:r>
                    <w:rPr>
                      <w:rFonts w:hint="eastAsia" w:ascii="Times New Roman" w:hAnsi="Times New Roman" w:eastAsia="宋体" w:cs="Times New Roman"/>
                      <w:szCs w:val="21"/>
                      <w:lang w:val="en-US" w:eastAsia="zh-CN"/>
                    </w:rPr>
                    <w:t>60</w:t>
                  </w:r>
                </w:p>
              </w:tc>
              <w:tc>
                <w:tcPr>
                  <w:tcW w:w="532" w:type="pct"/>
                  <w:noWrap w:val="0"/>
                  <w:vAlign w:val="center"/>
                </w:tcPr>
                <w:p>
                  <w:pPr>
                    <w:widowControl/>
                    <w:adjustRightInd w:val="0"/>
                    <w:ind w:right="-42" w:rightChars="-20"/>
                    <w:jc w:val="center"/>
                    <w:textAlignment w:val="baseline"/>
                    <w:rPr>
                      <w:rFonts w:hint="default" w:eastAsia="宋体"/>
                      <w:szCs w:val="21"/>
                      <w:lang w:val="en-US" w:eastAsia="zh-CN"/>
                    </w:rPr>
                  </w:pPr>
                  <w:r>
                    <w:rPr>
                      <w:rFonts w:hint="eastAsia"/>
                      <w:szCs w:val="21"/>
                      <w:lang w:val="en-US" w:eastAsia="zh-CN"/>
                    </w:rPr>
                    <w:t>2</w:t>
                  </w:r>
                </w:p>
              </w:tc>
              <w:tc>
                <w:tcPr>
                  <w:tcW w:w="522" w:type="pct"/>
                  <w:noWrap w:val="0"/>
                  <w:vAlign w:val="center"/>
                </w:tcPr>
                <w:p>
                  <w:pPr>
                    <w:adjustRightInd w:val="0"/>
                    <w:snapToGrid w:val="0"/>
                    <w:jc w:val="center"/>
                    <w:rPr>
                      <w:szCs w:val="21"/>
                    </w:rPr>
                  </w:pPr>
                  <w:r>
                    <w:rPr>
                      <w:szCs w:val="21"/>
                    </w:rPr>
                    <w:t>25</w:t>
                  </w:r>
                </w:p>
              </w:tc>
              <w:tc>
                <w:tcPr>
                  <w:tcW w:w="528" w:type="pct"/>
                  <w:noWrap w:val="0"/>
                  <w:vAlign w:val="center"/>
                </w:tcPr>
                <w:p>
                  <w:pPr>
                    <w:widowControl/>
                    <w:jc w:val="center"/>
                    <w:textAlignment w:val="center"/>
                    <w:rPr>
                      <w:rFonts w:hint="default" w:eastAsia="宋体"/>
                      <w:szCs w:val="21"/>
                      <w:lang w:val="en-US" w:eastAsia="zh-CN"/>
                    </w:rPr>
                  </w:pPr>
                  <w:r>
                    <w:rPr>
                      <w:rFonts w:hint="eastAsia"/>
                      <w:kern w:val="0"/>
                      <w:szCs w:val="21"/>
                      <w:lang w:val="en-US" w:eastAsia="zh-CN" w:bidi="ar"/>
                    </w:rPr>
                    <w:t>40</w:t>
                  </w:r>
                </w:p>
              </w:tc>
              <w:tc>
                <w:tcPr>
                  <w:tcW w:w="615" w:type="pct"/>
                  <w:vMerge w:val="continue"/>
                  <w:noWrap w:val="0"/>
                  <w:vAlign w:val="center"/>
                </w:tcPr>
                <w:p>
                  <w:pPr>
                    <w:adjustRightInd w:val="0"/>
                    <w:snapToGrid w:val="0"/>
                    <w:jc w:val="center"/>
                    <w:rPr>
                      <w:szCs w:val="21"/>
                    </w:rPr>
                  </w:pPr>
                </w:p>
              </w:tc>
              <w:tc>
                <w:tcPr>
                  <w:tcW w:w="752" w:type="pct"/>
                  <w:vMerge w:val="continue"/>
                  <w:noWrap w:val="0"/>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continue"/>
                  <w:noWrap w:val="0"/>
                  <w:vAlign w:val="center"/>
                </w:tcPr>
                <w:p>
                  <w:pPr>
                    <w:adjustRightInd w:val="0"/>
                    <w:snapToGrid w:val="0"/>
                    <w:jc w:val="center"/>
                    <w:rPr>
                      <w:szCs w:val="21"/>
                    </w:rPr>
                  </w:pPr>
                </w:p>
              </w:tc>
              <w:tc>
                <w:tcPr>
                  <w:tcW w:w="1006" w:type="pct"/>
                  <w:noWrap w:val="0"/>
                  <w:vAlign w:val="center"/>
                </w:tcPr>
                <w:p>
                  <w:pPr>
                    <w:widowControl/>
                    <w:jc w:val="center"/>
                    <w:textAlignment w:val="center"/>
                    <w:rPr>
                      <w:szCs w:val="21"/>
                    </w:rPr>
                  </w:pPr>
                  <w:r>
                    <w:rPr>
                      <w:rFonts w:hint="eastAsia"/>
                      <w:szCs w:val="21"/>
                      <w:lang w:val="en-US" w:eastAsia="zh-CN"/>
                    </w:rPr>
                    <w:t>超声波清洗机</w:t>
                  </w:r>
                </w:p>
              </w:tc>
              <w:tc>
                <w:tcPr>
                  <w:tcW w:w="613" w:type="pct"/>
                  <w:noWrap w:val="0"/>
                  <w:vAlign w:val="center"/>
                </w:tcPr>
                <w:p>
                  <w:pPr>
                    <w:widowControl/>
                    <w:jc w:val="center"/>
                    <w:textAlignment w:val="center"/>
                    <w:rPr>
                      <w:szCs w:val="21"/>
                    </w:rPr>
                  </w:pPr>
                  <w:r>
                    <w:rPr>
                      <w:rFonts w:hint="eastAsia" w:ascii="Times New Roman" w:hAnsi="Times New Roman" w:eastAsia="宋体" w:cs="Times New Roman"/>
                      <w:szCs w:val="21"/>
                      <w:lang w:val="en-US" w:eastAsia="zh-CN"/>
                    </w:rPr>
                    <w:t>80</w:t>
                  </w:r>
                </w:p>
              </w:tc>
              <w:tc>
                <w:tcPr>
                  <w:tcW w:w="532" w:type="pct"/>
                  <w:noWrap w:val="0"/>
                  <w:vAlign w:val="center"/>
                </w:tcPr>
                <w:p>
                  <w:pPr>
                    <w:widowControl/>
                    <w:adjustRightInd w:val="0"/>
                    <w:ind w:right="-42" w:rightChars="-20"/>
                    <w:jc w:val="center"/>
                    <w:textAlignment w:val="baseline"/>
                    <w:rPr>
                      <w:rFonts w:hint="eastAsia" w:eastAsia="宋体"/>
                      <w:szCs w:val="21"/>
                      <w:lang w:eastAsia="zh-CN"/>
                    </w:rPr>
                  </w:pPr>
                  <w:r>
                    <w:rPr>
                      <w:rFonts w:hint="eastAsia"/>
                      <w:kern w:val="0"/>
                      <w:szCs w:val="21"/>
                      <w:lang w:val="en-US" w:eastAsia="zh-CN"/>
                    </w:rPr>
                    <w:t>6</w:t>
                  </w:r>
                </w:p>
              </w:tc>
              <w:tc>
                <w:tcPr>
                  <w:tcW w:w="522" w:type="pct"/>
                  <w:noWrap w:val="0"/>
                  <w:vAlign w:val="center"/>
                </w:tcPr>
                <w:p>
                  <w:pPr>
                    <w:adjustRightInd w:val="0"/>
                    <w:snapToGrid w:val="0"/>
                    <w:jc w:val="center"/>
                    <w:rPr>
                      <w:szCs w:val="21"/>
                    </w:rPr>
                  </w:pPr>
                  <w:r>
                    <w:rPr>
                      <w:szCs w:val="21"/>
                    </w:rPr>
                    <w:t>25</w:t>
                  </w:r>
                </w:p>
              </w:tc>
              <w:tc>
                <w:tcPr>
                  <w:tcW w:w="528" w:type="pct"/>
                  <w:noWrap w:val="0"/>
                  <w:vAlign w:val="center"/>
                </w:tcPr>
                <w:p>
                  <w:pPr>
                    <w:widowControl/>
                    <w:jc w:val="center"/>
                    <w:textAlignment w:val="center"/>
                    <w:rPr>
                      <w:rFonts w:hint="default" w:eastAsia="宋体"/>
                      <w:szCs w:val="21"/>
                      <w:lang w:val="en-US" w:eastAsia="zh-CN"/>
                    </w:rPr>
                  </w:pPr>
                  <w:r>
                    <w:rPr>
                      <w:rFonts w:hint="eastAsia"/>
                      <w:kern w:val="0"/>
                      <w:szCs w:val="21"/>
                      <w:lang w:val="en-US" w:eastAsia="zh-CN" w:bidi="ar"/>
                    </w:rPr>
                    <w:t>28</w:t>
                  </w:r>
                </w:p>
              </w:tc>
              <w:tc>
                <w:tcPr>
                  <w:tcW w:w="615" w:type="pct"/>
                  <w:vMerge w:val="continue"/>
                  <w:noWrap w:val="0"/>
                  <w:vAlign w:val="center"/>
                </w:tcPr>
                <w:p>
                  <w:pPr>
                    <w:adjustRightInd w:val="0"/>
                    <w:snapToGrid w:val="0"/>
                    <w:jc w:val="center"/>
                    <w:rPr>
                      <w:szCs w:val="21"/>
                    </w:rPr>
                  </w:pPr>
                </w:p>
              </w:tc>
              <w:tc>
                <w:tcPr>
                  <w:tcW w:w="752" w:type="pct"/>
                  <w:vMerge w:val="continue"/>
                  <w:noWrap w:val="0"/>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continue"/>
                  <w:noWrap w:val="0"/>
                  <w:vAlign w:val="center"/>
                </w:tcPr>
                <w:p>
                  <w:pPr>
                    <w:adjustRightInd w:val="0"/>
                    <w:snapToGrid w:val="0"/>
                    <w:jc w:val="center"/>
                    <w:rPr>
                      <w:szCs w:val="21"/>
                    </w:rPr>
                  </w:pPr>
                </w:p>
              </w:tc>
              <w:tc>
                <w:tcPr>
                  <w:tcW w:w="1006" w:type="pct"/>
                  <w:noWrap w:val="0"/>
                  <w:vAlign w:val="center"/>
                </w:tcPr>
                <w:p>
                  <w:pPr>
                    <w:widowControl/>
                    <w:jc w:val="center"/>
                    <w:textAlignment w:val="center"/>
                    <w:rPr>
                      <w:szCs w:val="21"/>
                    </w:rPr>
                  </w:pPr>
                  <w:r>
                    <w:rPr>
                      <w:rFonts w:hint="eastAsia"/>
                      <w:szCs w:val="21"/>
                      <w:lang w:val="en-US" w:eastAsia="zh-CN"/>
                    </w:rPr>
                    <w:t>轴线去皮机</w:t>
                  </w:r>
                </w:p>
              </w:tc>
              <w:tc>
                <w:tcPr>
                  <w:tcW w:w="613" w:type="pct"/>
                  <w:noWrap w:val="0"/>
                  <w:vAlign w:val="center"/>
                </w:tcPr>
                <w:p>
                  <w:pPr>
                    <w:widowControl/>
                    <w:jc w:val="center"/>
                    <w:textAlignment w:val="center"/>
                    <w:rPr>
                      <w:szCs w:val="21"/>
                    </w:rPr>
                  </w:pPr>
                  <w:r>
                    <w:rPr>
                      <w:rFonts w:hint="eastAsia" w:ascii="Times New Roman" w:hAnsi="Times New Roman" w:eastAsia="宋体" w:cs="Times New Roman"/>
                      <w:szCs w:val="21"/>
                      <w:lang w:val="en-US" w:eastAsia="zh-CN"/>
                    </w:rPr>
                    <w:t>70</w:t>
                  </w:r>
                </w:p>
              </w:tc>
              <w:tc>
                <w:tcPr>
                  <w:tcW w:w="532" w:type="pct"/>
                  <w:noWrap w:val="0"/>
                  <w:vAlign w:val="center"/>
                </w:tcPr>
                <w:p>
                  <w:pPr>
                    <w:widowControl/>
                    <w:adjustRightInd w:val="0"/>
                    <w:ind w:right="-42" w:rightChars="-20"/>
                    <w:jc w:val="center"/>
                    <w:textAlignment w:val="baseline"/>
                    <w:rPr>
                      <w:rFonts w:hint="eastAsia" w:eastAsia="宋体"/>
                      <w:szCs w:val="21"/>
                      <w:lang w:eastAsia="zh-CN"/>
                    </w:rPr>
                  </w:pPr>
                  <w:r>
                    <w:rPr>
                      <w:rFonts w:hint="eastAsia"/>
                      <w:kern w:val="0"/>
                      <w:szCs w:val="21"/>
                      <w:lang w:val="en-US" w:eastAsia="zh-CN"/>
                    </w:rPr>
                    <w:t>2</w:t>
                  </w:r>
                </w:p>
              </w:tc>
              <w:tc>
                <w:tcPr>
                  <w:tcW w:w="522" w:type="pct"/>
                  <w:noWrap w:val="0"/>
                  <w:vAlign w:val="center"/>
                </w:tcPr>
                <w:p>
                  <w:pPr>
                    <w:adjustRightInd w:val="0"/>
                    <w:snapToGrid w:val="0"/>
                    <w:jc w:val="center"/>
                    <w:rPr>
                      <w:szCs w:val="21"/>
                    </w:rPr>
                  </w:pPr>
                  <w:r>
                    <w:rPr>
                      <w:szCs w:val="21"/>
                    </w:rPr>
                    <w:t>25</w:t>
                  </w:r>
                </w:p>
              </w:tc>
              <w:tc>
                <w:tcPr>
                  <w:tcW w:w="528" w:type="pct"/>
                  <w:noWrap w:val="0"/>
                  <w:vAlign w:val="center"/>
                </w:tcPr>
                <w:p>
                  <w:pPr>
                    <w:widowControl/>
                    <w:jc w:val="center"/>
                    <w:textAlignment w:val="center"/>
                    <w:rPr>
                      <w:rFonts w:hint="default" w:eastAsia="宋体"/>
                      <w:szCs w:val="21"/>
                      <w:lang w:val="en-US" w:eastAsia="zh-CN"/>
                    </w:rPr>
                  </w:pPr>
                  <w:r>
                    <w:rPr>
                      <w:rFonts w:hint="eastAsia"/>
                      <w:kern w:val="0"/>
                      <w:szCs w:val="21"/>
                      <w:lang w:val="en-US" w:eastAsia="zh-CN" w:bidi="ar"/>
                    </w:rPr>
                    <w:t>42</w:t>
                  </w:r>
                </w:p>
              </w:tc>
              <w:tc>
                <w:tcPr>
                  <w:tcW w:w="615" w:type="pct"/>
                  <w:vMerge w:val="continue"/>
                  <w:noWrap w:val="0"/>
                  <w:vAlign w:val="center"/>
                </w:tcPr>
                <w:p>
                  <w:pPr>
                    <w:adjustRightInd w:val="0"/>
                    <w:snapToGrid w:val="0"/>
                    <w:jc w:val="center"/>
                    <w:rPr>
                      <w:szCs w:val="21"/>
                    </w:rPr>
                  </w:pPr>
                </w:p>
              </w:tc>
              <w:tc>
                <w:tcPr>
                  <w:tcW w:w="752" w:type="pct"/>
                  <w:vMerge w:val="continue"/>
                  <w:noWrap w:val="0"/>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continue"/>
                  <w:noWrap w:val="0"/>
                  <w:vAlign w:val="center"/>
                </w:tcPr>
                <w:p>
                  <w:pPr>
                    <w:adjustRightInd w:val="0"/>
                    <w:snapToGrid w:val="0"/>
                    <w:jc w:val="center"/>
                    <w:rPr>
                      <w:szCs w:val="21"/>
                    </w:rPr>
                  </w:pPr>
                </w:p>
              </w:tc>
              <w:tc>
                <w:tcPr>
                  <w:tcW w:w="1006" w:type="pct"/>
                  <w:noWrap w:val="0"/>
                  <w:vAlign w:val="center"/>
                </w:tcPr>
                <w:p>
                  <w:pPr>
                    <w:widowControl/>
                    <w:jc w:val="center"/>
                    <w:textAlignment w:val="center"/>
                    <w:rPr>
                      <w:rFonts w:hint="eastAsia"/>
                      <w:szCs w:val="21"/>
                      <w:lang w:val="en-US" w:eastAsia="zh-CN"/>
                    </w:rPr>
                  </w:pPr>
                  <w:r>
                    <w:rPr>
                      <w:rFonts w:hint="eastAsia" w:ascii="Times New Roman" w:hAnsi="Times New Roman" w:eastAsia="宋体" w:cs="Times New Roman"/>
                      <w:szCs w:val="21"/>
                      <w:lang w:val="en-US" w:eastAsia="zh-CN"/>
                    </w:rPr>
                    <w:t>风机</w:t>
                  </w:r>
                </w:p>
              </w:tc>
              <w:tc>
                <w:tcPr>
                  <w:tcW w:w="613" w:type="pct"/>
                  <w:noWrap w:val="0"/>
                  <w:vAlign w:val="center"/>
                </w:tcPr>
                <w:p>
                  <w:pPr>
                    <w:widowControl/>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w:t>
                  </w:r>
                </w:p>
              </w:tc>
              <w:tc>
                <w:tcPr>
                  <w:tcW w:w="532" w:type="pct"/>
                  <w:noWrap w:val="0"/>
                  <w:vAlign w:val="center"/>
                </w:tcPr>
                <w:p>
                  <w:pPr>
                    <w:widowControl/>
                    <w:adjustRightInd w:val="0"/>
                    <w:ind w:right="-42" w:rightChars="-20"/>
                    <w:jc w:val="center"/>
                    <w:textAlignment w:val="baseline"/>
                    <w:rPr>
                      <w:rFonts w:hint="default"/>
                      <w:kern w:val="0"/>
                      <w:szCs w:val="21"/>
                      <w:lang w:val="en-US" w:eastAsia="zh-CN"/>
                    </w:rPr>
                  </w:pPr>
                  <w:r>
                    <w:rPr>
                      <w:rFonts w:hint="eastAsia"/>
                      <w:kern w:val="0"/>
                      <w:szCs w:val="21"/>
                      <w:lang w:val="en-US" w:eastAsia="zh-CN"/>
                    </w:rPr>
                    <w:t>1</w:t>
                  </w:r>
                </w:p>
              </w:tc>
              <w:tc>
                <w:tcPr>
                  <w:tcW w:w="522" w:type="pct"/>
                  <w:noWrap w:val="0"/>
                  <w:vAlign w:val="center"/>
                </w:tcPr>
                <w:p>
                  <w:pPr>
                    <w:adjustRightInd w:val="0"/>
                    <w:snapToGrid w:val="0"/>
                    <w:jc w:val="center"/>
                    <w:rPr>
                      <w:rFonts w:hint="default" w:eastAsia="宋体"/>
                      <w:szCs w:val="21"/>
                      <w:lang w:val="en-US" w:eastAsia="zh-CN"/>
                    </w:rPr>
                  </w:pPr>
                  <w:r>
                    <w:rPr>
                      <w:rFonts w:hint="eastAsia"/>
                      <w:szCs w:val="21"/>
                      <w:lang w:val="en-US" w:eastAsia="zh-CN"/>
                    </w:rPr>
                    <w:t>25</w:t>
                  </w:r>
                </w:p>
              </w:tc>
              <w:tc>
                <w:tcPr>
                  <w:tcW w:w="528" w:type="pct"/>
                  <w:noWrap w:val="0"/>
                  <w:vAlign w:val="center"/>
                </w:tcPr>
                <w:p>
                  <w:pPr>
                    <w:widowControl/>
                    <w:jc w:val="center"/>
                    <w:textAlignment w:val="center"/>
                    <w:rPr>
                      <w:rFonts w:hint="default"/>
                      <w:kern w:val="0"/>
                      <w:szCs w:val="21"/>
                      <w:lang w:val="en-US" w:eastAsia="zh-CN" w:bidi="ar"/>
                    </w:rPr>
                  </w:pPr>
                  <w:r>
                    <w:rPr>
                      <w:rFonts w:hint="eastAsia"/>
                      <w:kern w:val="0"/>
                      <w:szCs w:val="21"/>
                      <w:lang w:val="en-US" w:eastAsia="zh-CN" w:bidi="ar"/>
                    </w:rPr>
                    <w:t>4</w:t>
                  </w:r>
                </w:p>
              </w:tc>
              <w:tc>
                <w:tcPr>
                  <w:tcW w:w="615" w:type="pct"/>
                  <w:vMerge w:val="continue"/>
                  <w:noWrap w:val="0"/>
                  <w:vAlign w:val="center"/>
                </w:tcPr>
                <w:p>
                  <w:pPr>
                    <w:adjustRightInd w:val="0"/>
                    <w:snapToGrid w:val="0"/>
                    <w:jc w:val="center"/>
                    <w:rPr>
                      <w:szCs w:val="21"/>
                    </w:rPr>
                  </w:pPr>
                </w:p>
              </w:tc>
              <w:tc>
                <w:tcPr>
                  <w:tcW w:w="752" w:type="pct"/>
                  <w:vMerge w:val="continue"/>
                  <w:noWrap w:val="0"/>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restart"/>
                  <w:noWrap w:val="0"/>
                  <w:vAlign w:val="center"/>
                </w:tcPr>
                <w:p>
                  <w:pPr>
                    <w:adjustRightInd w:val="0"/>
                    <w:snapToGrid w:val="0"/>
                    <w:jc w:val="center"/>
                    <w:rPr>
                      <w:szCs w:val="21"/>
                    </w:rPr>
                  </w:pPr>
                  <w:r>
                    <w:rPr>
                      <w:szCs w:val="21"/>
                    </w:rPr>
                    <w:t>南厂界</w:t>
                  </w:r>
                </w:p>
              </w:tc>
              <w:tc>
                <w:tcPr>
                  <w:tcW w:w="1006"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激光焊接机</w:t>
                  </w:r>
                </w:p>
              </w:tc>
              <w:tc>
                <w:tcPr>
                  <w:tcW w:w="613" w:type="pct"/>
                  <w:noWrap w:val="0"/>
                  <w:vAlign w:val="center"/>
                </w:tcPr>
                <w:p>
                  <w:pPr>
                    <w:widowControl/>
                    <w:jc w:val="center"/>
                    <w:textAlignment w:val="center"/>
                    <w:rPr>
                      <w:szCs w:val="21"/>
                    </w:rPr>
                  </w:pPr>
                  <w:r>
                    <w:rPr>
                      <w:rFonts w:hint="eastAsia"/>
                      <w:szCs w:val="21"/>
                      <w:lang w:val="en-US" w:eastAsia="zh-CN"/>
                    </w:rPr>
                    <w:t>75</w:t>
                  </w:r>
                </w:p>
              </w:tc>
              <w:tc>
                <w:tcPr>
                  <w:tcW w:w="532" w:type="pct"/>
                  <w:noWrap w:val="0"/>
                  <w:vAlign w:val="center"/>
                </w:tcPr>
                <w:p>
                  <w:pPr>
                    <w:widowControl/>
                    <w:adjustRightInd w:val="0"/>
                    <w:ind w:right="-42" w:rightChars="-20"/>
                    <w:jc w:val="center"/>
                    <w:textAlignment w:val="baseline"/>
                    <w:rPr>
                      <w:szCs w:val="21"/>
                    </w:rPr>
                  </w:pPr>
                  <w:r>
                    <w:rPr>
                      <w:rFonts w:hint="eastAsia"/>
                      <w:kern w:val="0"/>
                      <w:szCs w:val="21"/>
                      <w:lang w:val="en-US" w:eastAsia="zh-CN"/>
                    </w:rPr>
                    <w:t>8</w:t>
                  </w:r>
                </w:p>
              </w:tc>
              <w:tc>
                <w:tcPr>
                  <w:tcW w:w="522" w:type="pct"/>
                  <w:noWrap w:val="0"/>
                  <w:vAlign w:val="center"/>
                </w:tcPr>
                <w:p>
                  <w:pPr>
                    <w:adjustRightInd w:val="0"/>
                    <w:snapToGrid w:val="0"/>
                    <w:jc w:val="center"/>
                    <w:rPr>
                      <w:szCs w:val="21"/>
                    </w:rPr>
                  </w:pPr>
                  <w:r>
                    <w:rPr>
                      <w:szCs w:val="21"/>
                    </w:rPr>
                    <w:t>25</w:t>
                  </w:r>
                </w:p>
              </w:tc>
              <w:tc>
                <w:tcPr>
                  <w:tcW w:w="528" w:type="pct"/>
                  <w:noWrap w:val="0"/>
                  <w:vAlign w:val="center"/>
                </w:tcPr>
                <w:p>
                  <w:pPr>
                    <w:widowControl/>
                    <w:jc w:val="center"/>
                    <w:textAlignment w:val="center"/>
                    <w:rPr>
                      <w:rFonts w:hint="default" w:eastAsia="宋体"/>
                      <w:szCs w:val="21"/>
                      <w:lang w:val="en-US" w:eastAsia="zh-CN"/>
                    </w:rPr>
                  </w:pPr>
                  <w:r>
                    <w:rPr>
                      <w:rFonts w:hint="eastAsia"/>
                      <w:szCs w:val="21"/>
                      <w:lang w:val="en-US" w:eastAsia="zh-CN"/>
                    </w:rPr>
                    <w:t>2</w:t>
                  </w:r>
                </w:p>
              </w:tc>
              <w:tc>
                <w:tcPr>
                  <w:tcW w:w="615" w:type="pct"/>
                  <w:vMerge w:val="restart"/>
                  <w:noWrap w:val="0"/>
                  <w:vAlign w:val="center"/>
                </w:tcPr>
                <w:p>
                  <w:pPr>
                    <w:adjustRightInd w:val="0"/>
                    <w:snapToGrid w:val="0"/>
                    <w:jc w:val="center"/>
                    <w:rPr>
                      <w:rFonts w:hint="default" w:eastAsia="宋体"/>
                      <w:szCs w:val="21"/>
                      <w:lang w:val="en-US" w:eastAsia="zh-CN"/>
                    </w:rPr>
                  </w:pPr>
                  <w:r>
                    <w:rPr>
                      <w:rFonts w:hint="eastAsia"/>
                      <w:szCs w:val="21"/>
                      <w:lang w:val="en-US" w:eastAsia="zh-CN"/>
                    </w:rPr>
                    <w:t>45.32</w:t>
                  </w:r>
                </w:p>
              </w:tc>
              <w:tc>
                <w:tcPr>
                  <w:tcW w:w="752" w:type="pct"/>
                  <w:vMerge w:val="restart"/>
                  <w:noWrap w:val="0"/>
                  <w:vAlign w:val="center"/>
                </w:tcPr>
                <w:p>
                  <w:pPr>
                    <w:adjustRightInd w:val="0"/>
                    <w:snapToGrid w:val="0"/>
                    <w:jc w:val="center"/>
                    <w:rPr>
                      <w:rFonts w:hint="default"/>
                      <w:szCs w:val="21"/>
                      <w:highlight w:val="none"/>
                      <w:lang w:val="en-US" w:eastAsia="zh-CN"/>
                    </w:rPr>
                  </w:pPr>
                  <w:r>
                    <w:rPr>
                      <w:rFonts w:hint="eastAsia"/>
                      <w:szCs w:val="21"/>
                      <w:highlight w:val="none"/>
                      <w:lang w:val="en-US" w:eastAsia="zh-CN"/>
                    </w:rPr>
                    <w:t>57.29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continue"/>
                  <w:noWrap w:val="0"/>
                  <w:vAlign w:val="center"/>
                </w:tcPr>
                <w:p>
                  <w:pPr>
                    <w:adjustRightInd w:val="0"/>
                    <w:snapToGrid w:val="0"/>
                    <w:jc w:val="center"/>
                    <w:rPr>
                      <w:szCs w:val="21"/>
                    </w:rPr>
                  </w:pPr>
                </w:p>
              </w:tc>
              <w:tc>
                <w:tcPr>
                  <w:tcW w:w="1006"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磁力研磨机</w:t>
                  </w:r>
                </w:p>
              </w:tc>
              <w:tc>
                <w:tcPr>
                  <w:tcW w:w="613" w:type="pct"/>
                  <w:noWrap w:val="0"/>
                  <w:vAlign w:val="center"/>
                </w:tcPr>
                <w:p>
                  <w:pPr>
                    <w:widowControl/>
                    <w:jc w:val="center"/>
                    <w:textAlignment w:val="center"/>
                    <w:rPr>
                      <w:szCs w:val="21"/>
                    </w:rPr>
                  </w:pPr>
                  <w:r>
                    <w:rPr>
                      <w:rFonts w:hint="eastAsia" w:ascii="Times New Roman" w:hAnsi="Times New Roman" w:eastAsia="宋体" w:cs="Times New Roman"/>
                      <w:szCs w:val="21"/>
                      <w:lang w:val="en-US" w:eastAsia="zh-CN"/>
                    </w:rPr>
                    <w:t>60</w:t>
                  </w:r>
                </w:p>
              </w:tc>
              <w:tc>
                <w:tcPr>
                  <w:tcW w:w="532" w:type="pct"/>
                  <w:noWrap w:val="0"/>
                  <w:vAlign w:val="center"/>
                </w:tcPr>
                <w:p>
                  <w:pPr>
                    <w:widowControl/>
                    <w:adjustRightInd w:val="0"/>
                    <w:ind w:right="-42" w:rightChars="-20"/>
                    <w:jc w:val="center"/>
                    <w:textAlignment w:val="baseline"/>
                    <w:rPr>
                      <w:szCs w:val="21"/>
                    </w:rPr>
                  </w:pPr>
                  <w:r>
                    <w:rPr>
                      <w:rFonts w:hint="eastAsia"/>
                      <w:szCs w:val="21"/>
                      <w:lang w:val="en-US" w:eastAsia="zh-CN"/>
                    </w:rPr>
                    <w:t>2</w:t>
                  </w:r>
                </w:p>
              </w:tc>
              <w:tc>
                <w:tcPr>
                  <w:tcW w:w="522" w:type="pct"/>
                  <w:noWrap w:val="0"/>
                  <w:vAlign w:val="center"/>
                </w:tcPr>
                <w:p>
                  <w:pPr>
                    <w:adjustRightInd w:val="0"/>
                    <w:snapToGrid w:val="0"/>
                    <w:jc w:val="center"/>
                    <w:rPr>
                      <w:szCs w:val="21"/>
                    </w:rPr>
                  </w:pPr>
                  <w:r>
                    <w:rPr>
                      <w:szCs w:val="21"/>
                    </w:rPr>
                    <w:t>25</w:t>
                  </w:r>
                </w:p>
              </w:tc>
              <w:tc>
                <w:tcPr>
                  <w:tcW w:w="528" w:type="pct"/>
                  <w:noWrap w:val="0"/>
                  <w:vAlign w:val="center"/>
                </w:tcPr>
                <w:p>
                  <w:pPr>
                    <w:widowControl/>
                    <w:jc w:val="center"/>
                    <w:textAlignment w:val="center"/>
                    <w:rPr>
                      <w:rFonts w:hint="default" w:eastAsia="宋体"/>
                      <w:szCs w:val="21"/>
                      <w:lang w:val="en-US" w:eastAsia="zh-CN"/>
                    </w:rPr>
                  </w:pPr>
                  <w:r>
                    <w:rPr>
                      <w:rFonts w:hint="eastAsia" w:eastAsia="宋体"/>
                      <w:szCs w:val="21"/>
                      <w:lang w:val="en-US" w:eastAsia="zh-CN"/>
                    </w:rPr>
                    <w:t>6</w:t>
                  </w:r>
                </w:p>
              </w:tc>
              <w:tc>
                <w:tcPr>
                  <w:tcW w:w="615" w:type="pct"/>
                  <w:vMerge w:val="continue"/>
                  <w:noWrap w:val="0"/>
                  <w:vAlign w:val="center"/>
                </w:tcPr>
                <w:p>
                  <w:pPr>
                    <w:adjustRightInd w:val="0"/>
                    <w:snapToGrid w:val="0"/>
                    <w:jc w:val="center"/>
                    <w:rPr>
                      <w:szCs w:val="21"/>
                    </w:rPr>
                  </w:pPr>
                </w:p>
              </w:tc>
              <w:tc>
                <w:tcPr>
                  <w:tcW w:w="752" w:type="pct"/>
                  <w:vMerge w:val="continue"/>
                  <w:noWrap w:val="0"/>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continue"/>
                  <w:noWrap w:val="0"/>
                  <w:vAlign w:val="center"/>
                </w:tcPr>
                <w:p>
                  <w:pPr>
                    <w:adjustRightInd w:val="0"/>
                    <w:snapToGrid w:val="0"/>
                    <w:jc w:val="center"/>
                    <w:rPr>
                      <w:szCs w:val="21"/>
                    </w:rPr>
                  </w:pPr>
                </w:p>
              </w:tc>
              <w:tc>
                <w:tcPr>
                  <w:tcW w:w="1006"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超声波清洗机</w:t>
                  </w:r>
                </w:p>
              </w:tc>
              <w:tc>
                <w:tcPr>
                  <w:tcW w:w="613" w:type="pct"/>
                  <w:noWrap w:val="0"/>
                  <w:vAlign w:val="center"/>
                </w:tcPr>
                <w:p>
                  <w:pPr>
                    <w:widowControl/>
                    <w:jc w:val="center"/>
                    <w:textAlignment w:val="center"/>
                    <w:rPr>
                      <w:szCs w:val="21"/>
                    </w:rPr>
                  </w:pPr>
                  <w:r>
                    <w:rPr>
                      <w:rFonts w:hint="eastAsia" w:ascii="Times New Roman" w:hAnsi="Times New Roman" w:eastAsia="宋体" w:cs="Times New Roman"/>
                      <w:szCs w:val="21"/>
                      <w:lang w:val="en-US" w:eastAsia="zh-CN"/>
                    </w:rPr>
                    <w:t>80</w:t>
                  </w:r>
                </w:p>
              </w:tc>
              <w:tc>
                <w:tcPr>
                  <w:tcW w:w="532" w:type="pct"/>
                  <w:noWrap w:val="0"/>
                  <w:vAlign w:val="center"/>
                </w:tcPr>
                <w:p>
                  <w:pPr>
                    <w:widowControl/>
                    <w:adjustRightInd w:val="0"/>
                    <w:ind w:right="-42" w:rightChars="-20"/>
                    <w:jc w:val="center"/>
                    <w:textAlignment w:val="baseline"/>
                    <w:rPr>
                      <w:szCs w:val="21"/>
                    </w:rPr>
                  </w:pPr>
                  <w:r>
                    <w:rPr>
                      <w:rFonts w:hint="eastAsia"/>
                      <w:kern w:val="0"/>
                      <w:szCs w:val="21"/>
                      <w:lang w:val="en-US" w:eastAsia="zh-CN"/>
                    </w:rPr>
                    <w:t>6</w:t>
                  </w:r>
                </w:p>
              </w:tc>
              <w:tc>
                <w:tcPr>
                  <w:tcW w:w="522" w:type="pct"/>
                  <w:noWrap w:val="0"/>
                  <w:vAlign w:val="center"/>
                </w:tcPr>
                <w:p>
                  <w:pPr>
                    <w:adjustRightInd w:val="0"/>
                    <w:snapToGrid w:val="0"/>
                    <w:jc w:val="center"/>
                    <w:rPr>
                      <w:szCs w:val="21"/>
                    </w:rPr>
                  </w:pPr>
                  <w:r>
                    <w:rPr>
                      <w:szCs w:val="21"/>
                    </w:rPr>
                    <w:t>25</w:t>
                  </w:r>
                </w:p>
              </w:tc>
              <w:tc>
                <w:tcPr>
                  <w:tcW w:w="528" w:type="pct"/>
                  <w:noWrap w:val="0"/>
                  <w:vAlign w:val="center"/>
                </w:tcPr>
                <w:p>
                  <w:pPr>
                    <w:widowControl/>
                    <w:jc w:val="center"/>
                    <w:textAlignment w:val="center"/>
                    <w:rPr>
                      <w:rFonts w:hint="default" w:eastAsia="宋体"/>
                      <w:szCs w:val="21"/>
                      <w:lang w:val="en-US" w:eastAsia="zh-CN"/>
                    </w:rPr>
                  </w:pPr>
                  <w:r>
                    <w:rPr>
                      <w:rFonts w:hint="eastAsia"/>
                      <w:szCs w:val="21"/>
                      <w:lang w:val="en-US" w:eastAsia="zh-CN"/>
                    </w:rPr>
                    <w:t>18</w:t>
                  </w:r>
                </w:p>
              </w:tc>
              <w:tc>
                <w:tcPr>
                  <w:tcW w:w="615" w:type="pct"/>
                  <w:vMerge w:val="continue"/>
                  <w:noWrap w:val="0"/>
                  <w:vAlign w:val="center"/>
                </w:tcPr>
                <w:p>
                  <w:pPr>
                    <w:adjustRightInd w:val="0"/>
                    <w:snapToGrid w:val="0"/>
                    <w:jc w:val="center"/>
                    <w:rPr>
                      <w:szCs w:val="21"/>
                    </w:rPr>
                  </w:pPr>
                </w:p>
              </w:tc>
              <w:tc>
                <w:tcPr>
                  <w:tcW w:w="752" w:type="pct"/>
                  <w:vMerge w:val="continue"/>
                  <w:noWrap w:val="0"/>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428" w:type="pct"/>
                  <w:vMerge w:val="continue"/>
                  <w:noWrap w:val="0"/>
                  <w:vAlign w:val="center"/>
                </w:tcPr>
                <w:p>
                  <w:pPr>
                    <w:adjustRightInd w:val="0"/>
                    <w:snapToGrid w:val="0"/>
                    <w:jc w:val="center"/>
                    <w:rPr>
                      <w:szCs w:val="21"/>
                    </w:rPr>
                  </w:pPr>
                </w:p>
              </w:tc>
              <w:tc>
                <w:tcPr>
                  <w:tcW w:w="1006"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轴线去皮机</w:t>
                  </w:r>
                </w:p>
              </w:tc>
              <w:tc>
                <w:tcPr>
                  <w:tcW w:w="613" w:type="pct"/>
                  <w:noWrap w:val="0"/>
                  <w:vAlign w:val="center"/>
                </w:tcPr>
                <w:p>
                  <w:pPr>
                    <w:widowControl/>
                    <w:jc w:val="center"/>
                    <w:textAlignment w:val="center"/>
                    <w:rPr>
                      <w:szCs w:val="21"/>
                    </w:rPr>
                  </w:pPr>
                  <w:r>
                    <w:rPr>
                      <w:rFonts w:hint="eastAsia" w:ascii="Times New Roman" w:hAnsi="Times New Roman" w:eastAsia="宋体" w:cs="Times New Roman"/>
                      <w:szCs w:val="21"/>
                      <w:lang w:val="en-US" w:eastAsia="zh-CN"/>
                    </w:rPr>
                    <w:t>70</w:t>
                  </w:r>
                </w:p>
              </w:tc>
              <w:tc>
                <w:tcPr>
                  <w:tcW w:w="532" w:type="pct"/>
                  <w:noWrap w:val="0"/>
                  <w:vAlign w:val="center"/>
                </w:tcPr>
                <w:p>
                  <w:pPr>
                    <w:widowControl/>
                    <w:adjustRightInd w:val="0"/>
                    <w:ind w:right="-42" w:rightChars="-20"/>
                    <w:jc w:val="center"/>
                    <w:textAlignment w:val="baseline"/>
                    <w:rPr>
                      <w:szCs w:val="21"/>
                    </w:rPr>
                  </w:pPr>
                  <w:r>
                    <w:rPr>
                      <w:rFonts w:hint="eastAsia"/>
                      <w:kern w:val="0"/>
                      <w:szCs w:val="21"/>
                      <w:lang w:val="en-US" w:eastAsia="zh-CN"/>
                    </w:rPr>
                    <w:t>2</w:t>
                  </w:r>
                </w:p>
              </w:tc>
              <w:tc>
                <w:tcPr>
                  <w:tcW w:w="522" w:type="pct"/>
                  <w:noWrap w:val="0"/>
                  <w:vAlign w:val="center"/>
                </w:tcPr>
                <w:p>
                  <w:pPr>
                    <w:adjustRightInd w:val="0"/>
                    <w:snapToGrid w:val="0"/>
                    <w:jc w:val="center"/>
                    <w:rPr>
                      <w:szCs w:val="21"/>
                    </w:rPr>
                  </w:pPr>
                  <w:r>
                    <w:rPr>
                      <w:szCs w:val="21"/>
                    </w:rPr>
                    <w:t>25</w:t>
                  </w:r>
                </w:p>
              </w:tc>
              <w:tc>
                <w:tcPr>
                  <w:tcW w:w="528" w:type="pct"/>
                  <w:noWrap w:val="0"/>
                  <w:vAlign w:val="center"/>
                </w:tcPr>
                <w:p>
                  <w:pPr>
                    <w:widowControl/>
                    <w:jc w:val="center"/>
                    <w:textAlignment w:val="center"/>
                    <w:rPr>
                      <w:rFonts w:hint="default" w:eastAsia="宋体"/>
                      <w:szCs w:val="21"/>
                      <w:lang w:val="en-US" w:eastAsia="zh-CN"/>
                    </w:rPr>
                  </w:pPr>
                  <w:r>
                    <w:rPr>
                      <w:rFonts w:hint="eastAsia"/>
                      <w:szCs w:val="21"/>
                      <w:lang w:val="en-US" w:eastAsia="zh-CN"/>
                    </w:rPr>
                    <w:t>4</w:t>
                  </w:r>
                </w:p>
              </w:tc>
              <w:tc>
                <w:tcPr>
                  <w:tcW w:w="615" w:type="pct"/>
                  <w:vMerge w:val="continue"/>
                  <w:noWrap w:val="0"/>
                  <w:vAlign w:val="center"/>
                </w:tcPr>
                <w:p>
                  <w:pPr>
                    <w:adjustRightInd w:val="0"/>
                    <w:snapToGrid w:val="0"/>
                    <w:jc w:val="center"/>
                    <w:rPr>
                      <w:szCs w:val="21"/>
                    </w:rPr>
                  </w:pPr>
                </w:p>
              </w:tc>
              <w:tc>
                <w:tcPr>
                  <w:tcW w:w="752" w:type="pct"/>
                  <w:vMerge w:val="continue"/>
                  <w:noWrap w:val="0"/>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continue"/>
                  <w:noWrap w:val="0"/>
                  <w:vAlign w:val="center"/>
                </w:tcPr>
                <w:p>
                  <w:pPr>
                    <w:adjustRightInd w:val="0"/>
                    <w:snapToGrid w:val="0"/>
                    <w:jc w:val="center"/>
                    <w:rPr>
                      <w:szCs w:val="21"/>
                    </w:rPr>
                  </w:pPr>
                </w:p>
              </w:tc>
              <w:tc>
                <w:tcPr>
                  <w:tcW w:w="1006"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风机</w:t>
                  </w:r>
                </w:p>
              </w:tc>
              <w:tc>
                <w:tcPr>
                  <w:tcW w:w="613"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w:t>
                  </w:r>
                </w:p>
              </w:tc>
              <w:tc>
                <w:tcPr>
                  <w:tcW w:w="532" w:type="pct"/>
                  <w:noWrap w:val="0"/>
                  <w:vAlign w:val="center"/>
                </w:tcPr>
                <w:p>
                  <w:pPr>
                    <w:widowControl/>
                    <w:adjustRightInd w:val="0"/>
                    <w:ind w:right="-42" w:rightChars="-20"/>
                    <w:jc w:val="center"/>
                    <w:textAlignment w:val="baseline"/>
                    <w:rPr>
                      <w:rFonts w:hint="eastAsia"/>
                      <w:kern w:val="0"/>
                      <w:szCs w:val="21"/>
                      <w:lang w:val="en-US" w:eastAsia="zh-CN"/>
                    </w:rPr>
                  </w:pPr>
                  <w:r>
                    <w:rPr>
                      <w:rFonts w:hint="eastAsia"/>
                      <w:kern w:val="0"/>
                      <w:szCs w:val="21"/>
                      <w:lang w:val="en-US" w:eastAsia="zh-CN"/>
                    </w:rPr>
                    <w:t>1</w:t>
                  </w:r>
                </w:p>
              </w:tc>
              <w:tc>
                <w:tcPr>
                  <w:tcW w:w="522" w:type="pct"/>
                  <w:noWrap w:val="0"/>
                  <w:vAlign w:val="center"/>
                </w:tcPr>
                <w:p>
                  <w:pPr>
                    <w:adjustRightInd w:val="0"/>
                    <w:snapToGrid w:val="0"/>
                    <w:jc w:val="center"/>
                    <w:rPr>
                      <w:szCs w:val="21"/>
                    </w:rPr>
                  </w:pPr>
                  <w:r>
                    <w:rPr>
                      <w:rFonts w:hint="eastAsia"/>
                      <w:szCs w:val="21"/>
                      <w:lang w:val="en-US" w:eastAsia="zh-CN"/>
                    </w:rPr>
                    <w:t>25</w:t>
                  </w:r>
                </w:p>
              </w:tc>
              <w:tc>
                <w:tcPr>
                  <w:tcW w:w="528" w:type="pct"/>
                  <w:noWrap w:val="0"/>
                  <w:vAlign w:val="center"/>
                </w:tcPr>
                <w:p>
                  <w:pPr>
                    <w:widowControl/>
                    <w:jc w:val="center"/>
                    <w:textAlignment w:val="center"/>
                    <w:rPr>
                      <w:rFonts w:hint="default"/>
                      <w:szCs w:val="21"/>
                      <w:lang w:val="en-US" w:eastAsia="zh-CN"/>
                    </w:rPr>
                  </w:pPr>
                  <w:r>
                    <w:rPr>
                      <w:rFonts w:hint="eastAsia"/>
                      <w:szCs w:val="21"/>
                      <w:lang w:val="en-US" w:eastAsia="zh-CN"/>
                    </w:rPr>
                    <w:t>18</w:t>
                  </w:r>
                </w:p>
              </w:tc>
              <w:tc>
                <w:tcPr>
                  <w:tcW w:w="615" w:type="pct"/>
                  <w:vMerge w:val="continue"/>
                  <w:noWrap w:val="0"/>
                  <w:vAlign w:val="center"/>
                </w:tcPr>
                <w:p>
                  <w:pPr>
                    <w:adjustRightInd w:val="0"/>
                    <w:snapToGrid w:val="0"/>
                    <w:jc w:val="center"/>
                    <w:rPr>
                      <w:szCs w:val="21"/>
                    </w:rPr>
                  </w:pPr>
                </w:p>
              </w:tc>
              <w:tc>
                <w:tcPr>
                  <w:tcW w:w="752" w:type="pct"/>
                  <w:vMerge w:val="continue"/>
                  <w:noWrap w:val="0"/>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restart"/>
                  <w:noWrap w:val="0"/>
                  <w:vAlign w:val="center"/>
                </w:tcPr>
                <w:p>
                  <w:pPr>
                    <w:adjustRightInd w:val="0"/>
                    <w:snapToGrid w:val="0"/>
                    <w:jc w:val="center"/>
                    <w:rPr>
                      <w:szCs w:val="21"/>
                    </w:rPr>
                  </w:pPr>
                  <w:r>
                    <w:rPr>
                      <w:szCs w:val="21"/>
                    </w:rPr>
                    <w:t>西厂界</w:t>
                  </w:r>
                </w:p>
              </w:tc>
              <w:tc>
                <w:tcPr>
                  <w:tcW w:w="1006"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激光焊接机</w:t>
                  </w:r>
                </w:p>
              </w:tc>
              <w:tc>
                <w:tcPr>
                  <w:tcW w:w="613" w:type="pct"/>
                  <w:noWrap w:val="0"/>
                  <w:vAlign w:val="center"/>
                </w:tcPr>
                <w:p>
                  <w:pPr>
                    <w:widowControl/>
                    <w:jc w:val="center"/>
                    <w:textAlignment w:val="center"/>
                    <w:rPr>
                      <w:szCs w:val="21"/>
                    </w:rPr>
                  </w:pPr>
                  <w:r>
                    <w:rPr>
                      <w:rFonts w:hint="eastAsia"/>
                      <w:szCs w:val="21"/>
                      <w:lang w:val="en-US" w:eastAsia="zh-CN"/>
                    </w:rPr>
                    <w:t>75</w:t>
                  </w:r>
                </w:p>
              </w:tc>
              <w:tc>
                <w:tcPr>
                  <w:tcW w:w="532" w:type="pct"/>
                  <w:noWrap w:val="0"/>
                  <w:vAlign w:val="center"/>
                </w:tcPr>
                <w:p>
                  <w:pPr>
                    <w:widowControl/>
                    <w:adjustRightInd w:val="0"/>
                    <w:ind w:right="-42" w:rightChars="-20"/>
                    <w:jc w:val="center"/>
                    <w:textAlignment w:val="baseline"/>
                    <w:rPr>
                      <w:szCs w:val="21"/>
                    </w:rPr>
                  </w:pPr>
                  <w:r>
                    <w:rPr>
                      <w:rFonts w:hint="eastAsia"/>
                      <w:kern w:val="0"/>
                      <w:szCs w:val="21"/>
                      <w:lang w:val="en-US" w:eastAsia="zh-CN"/>
                    </w:rPr>
                    <w:t>8</w:t>
                  </w:r>
                </w:p>
              </w:tc>
              <w:tc>
                <w:tcPr>
                  <w:tcW w:w="522" w:type="pct"/>
                  <w:noWrap w:val="0"/>
                  <w:vAlign w:val="center"/>
                </w:tcPr>
                <w:p>
                  <w:pPr>
                    <w:adjustRightInd w:val="0"/>
                    <w:snapToGrid w:val="0"/>
                    <w:jc w:val="center"/>
                    <w:rPr>
                      <w:szCs w:val="21"/>
                    </w:rPr>
                  </w:pPr>
                  <w:r>
                    <w:rPr>
                      <w:szCs w:val="21"/>
                    </w:rPr>
                    <w:t>25</w:t>
                  </w:r>
                </w:p>
              </w:tc>
              <w:tc>
                <w:tcPr>
                  <w:tcW w:w="528" w:type="pct"/>
                  <w:noWrap w:val="0"/>
                  <w:vAlign w:val="center"/>
                </w:tcPr>
                <w:p>
                  <w:pPr>
                    <w:widowControl/>
                    <w:jc w:val="center"/>
                    <w:textAlignment w:val="center"/>
                    <w:rPr>
                      <w:rFonts w:hint="default" w:eastAsia="宋体"/>
                      <w:szCs w:val="21"/>
                      <w:lang w:val="en-US" w:eastAsia="zh-CN"/>
                    </w:rPr>
                  </w:pPr>
                  <w:r>
                    <w:rPr>
                      <w:rFonts w:hint="eastAsia"/>
                      <w:szCs w:val="21"/>
                      <w:lang w:val="en-US" w:eastAsia="zh-CN"/>
                    </w:rPr>
                    <w:t>65</w:t>
                  </w:r>
                </w:p>
              </w:tc>
              <w:tc>
                <w:tcPr>
                  <w:tcW w:w="615" w:type="pct"/>
                  <w:vMerge w:val="restart"/>
                  <w:noWrap w:val="0"/>
                  <w:vAlign w:val="center"/>
                </w:tcPr>
                <w:p>
                  <w:pPr>
                    <w:adjustRightInd w:val="0"/>
                    <w:snapToGrid w:val="0"/>
                    <w:jc w:val="center"/>
                    <w:rPr>
                      <w:rFonts w:hint="default" w:eastAsia="宋体"/>
                      <w:szCs w:val="21"/>
                      <w:lang w:val="en-US" w:eastAsia="zh-CN"/>
                    </w:rPr>
                  </w:pPr>
                  <w:r>
                    <w:rPr>
                      <w:rFonts w:hint="eastAsia"/>
                      <w:szCs w:val="21"/>
                      <w:lang w:val="en-US" w:eastAsia="zh-CN"/>
                    </w:rPr>
                    <w:t>22.77</w:t>
                  </w:r>
                </w:p>
              </w:tc>
              <w:tc>
                <w:tcPr>
                  <w:tcW w:w="752" w:type="pct"/>
                  <w:vMerge w:val="restart"/>
                  <w:noWrap w:val="0"/>
                  <w:vAlign w:val="center"/>
                </w:tcPr>
                <w:p>
                  <w:pPr>
                    <w:adjustRightInd w:val="0"/>
                    <w:snapToGrid w:val="0"/>
                    <w:jc w:val="center"/>
                    <w:rPr>
                      <w:rFonts w:hint="default"/>
                      <w:szCs w:val="21"/>
                      <w:highlight w:val="none"/>
                      <w:lang w:val="en-US" w:eastAsia="zh-CN"/>
                    </w:rPr>
                  </w:pPr>
                  <w:r>
                    <w:rPr>
                      <w:rFonts w:hint="eastAsia"/>
                      <w:szCs w:val="21"/>
                      <w:highlight w:val="none"/>
                      <w:lang w:val="en-US" w:eastAsia="zh-CN"/>
                    </w:rPr>
                    <w:t>56.00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continue"/>
                  <w:noWrap w:val="0"/>
                  <w:vAlign w:val="center"/>
                </w:tcPr>
                <w:p>
                  <w:pPr>
                    <w:adjustRightInd w:val="0"/>
                    <w:snapToGrid w:val="0"/>
                    <w:jc w:val="center"/>
                    <w:rPr>
                      <w:szCs w:val="21"/>
                    </w:rPr>
                  </w:pPr>
                </w:p>
              </w:tc>
              <w:tc>
                <w:tcPr>
                  <w:tcW w:w="1006"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磁力研磨机</w:t>
                  </w:r>
                </w:p>
              </w:tc>
              <w:tc>
                <w:tcPr>
                  <w:tcW w:w="613" w:type="pct"/>
                  <w:noWrap w:val="0"/>
                  <w:vAlign w:val="center"/>
                </w:tcPr>
                <w:p>
                  <w:pPr>
                    <w:widowControl/>
                    <w:jc w:val="center"/>
                    <w:textAlignment w:val="center"/>
                    <w:rPr>
                      <w:szCs w:val="21"/>
                    </w:rPr>
                  </w:pPr>
                  <w:r>
                    <w:rPr>
                      <w:rFonts w:hint="eastAsia" w:ascii="Times New Roman" w:hAnsi="Times New Roman" w:eastAsia="宋体" w:cs="Times New Roman"/>
                      <w:szCs w:val="21"/>
                      <w:lang w:val="en-US" w:eastAsia="zh-CN"/>
                    </w:rPr>
                    <w:t>60</w:t>
                  </w:r>
                </w:p>
              </w:tc>
              <w:tc>
                <w:tcPr>
                  <w:tcW w:w="532" w:type="pct"/>
                  <w:noWrap w:val="0"/>
                  <w:vAlign w:val="center"/>
                </w:tcPr>
                <w:p>
                  <w:pPr>
                    <w:widowControl/>
                    <w:adjustRightInd w:val="0"/>
                    <w:ind w:right="-42" w:rightChars="-20"/>
                    <w:jc w:val="center"/>
                    <w:textAlignment w:val="baseline"/>
                    <w:rPr>
                      <w:szCs w:val="21"/>
                    </w:rPr>
                  </w:pPr>
                  <w:r>
                    <w:rPr>
                      <w:rFonts w:hint="eastAsia"/>
                      <w:szCs w:val="21"/>
                      <w:lang w:val="en-US" w:eastAsia="zh-CN"/>
                    </w:rPr>
                    <w:t>2</w:t>
                  </w:r>
                </w:p>
              </w:tc>
              <w:tc>
                <w:tcPr>
                  <w:tcW w:w="522" w:type="pct"/>
                  <w:noWrap w:val="0"/>
                  <w:vAlign w:val="center"/>
                </w:tcPr>
                <w:p>
                  <w:pPr>
                    <w:adjustRightInd w:val="0"/>
                    <w:snapToGrid w:val="0"/>
                    <w:jc w:val="center"/>
                    <w:rPr>
                      <w:szCs w:val="21"/>
                    </w:rPr>
                  </w:pPr>
                  <w:r>
                    <w:rPr>
                      <w:szCs w:val="21"/>
                    </w:rPr>
                    <w:t>25</w:t>
                  </w:r>
                </w:p>
              </w:tc>
              <w:tc>
                <w:tcPr>
                  <w:tcW w:w="528" w:type="pct"/>
                  <w:noWrap w:val="0"/>
                  <w:vAlign w:val="center"/>
                </w:tcPr>
                <w:p>
                  <w:pPr>
                    <w:widowControl/>
                    <w:jc w:val="center"/>
                    <w:textAlignment w:val="center"/>
                    <w:rPr>
                      <w:szCs w:val="21"/>
                    </w:rPr>
                  </w:pPr>
                  <w:r>
                    <w:rPr>
                      <w:rFonts w:hint="eastAsia" w:eastAsia="宋体"/>
                      <w:szCs w:val="21"/>
                      <w:lang w:val="en-US" w:eastAsia="zh-CN"/>
                    </w:rPr>
                    <w:t>76</w:t>
                  </w:r>
                </w:p>
              </w:tc>
              <w:tc>
                <w:tcPr>
                  <w:tcW w:w="615" w:type="pct"/>
                  <w:vMerge w:val="continue"/>
                  <w:noWrap w:val="0"/>
                  <w:vAlign w:val="center"/>
                </w:tcPr>
                <w:p>
                  <w:pPr>
                    <w:adjustRightInd w:val="0"/>
                    <w:snapToGrid w:val="0"/>
                    <w:jc w:val="center"/>
                    <w:rPr>
                      <w:szCs w:val="21"/>
                    </w:rPr>
                  </w:pPr>
                </w:p>
              </w:tc>
              <w:tc>
                <w:tcPr>
                  <w:tcW w:w="752" w:type="pct"/>
                  <w:vMerge w:val="continue"/>
                  <w:noWrap w:val="0"/>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continue"/>
                  <w:noWrap w:val="0"/>
                  <w:vAlign w:val="center"/>
                </w:tcPr>
                <w:p>
                  <w:pPr>
                    <w:adjustRightInd w:val="0"/>
                    <w:snapToGrid w:val="0"/>
                    <w:jc w:val="center"/>
                    <w:rPr>
                      <w:szCs w:val="21"/>
                    </w:rPr>
                  </w:pPr>
                </w:p>
              </w:tc>
              <w:tc>
                <w:tcPr>
                  <w:tcW w:w="1006" w:type="pct"/>
                  <w:noWrap w:val="0"/>
                  <w:vAlign w:val="center"/>
                </w:tcPr>
                <w:p>
                  <w:pPr>
                    <w:widowControl/>
                    <w:jc w:val="center"/>
                    <w:textAlignment w:val="center"/>
                    <w:rPr>
                      <w:szCs w:val="21"/>
                    </w:rPr>
                  </w:pPr>
                  <w:r>
                    <w:rPr>
                      <w:rFonts w:hint="eastAsia"/>
                      <w:szCs w:val="21"/>
                      <w:lang w:val="en-US" w:eastAsia="zh-CN"/>
                    </w:rPr>
                    <w:t>超声波清洗机</w:t>
                  </w:r>
                </w:p>
              </w:tc>
              <w:tc>
                <w:tcPr>
                  <w:tcW w:w="613" w:type="pct"/>
                  <w:noWrap w:val="0"/>
                  <w:vAlign w:val="center"/>
                </w:tcPr>
                <w:p>
                  <w:pPr>
                    <w:widowControl/>
                    <w:jc w:val="center"/>
                    <w:textAlignment w:val="center"/>
                    <w:rPr>
                      <w:szCs w:val="21"/>
                    </w:rPr>
                  </w:pPr>
                  <w:r>
                    <w:rPr>
                      <w:rFonts w:hint="eastAsia" w:ascii="Times New Roman" w:hAnsi="Times New Roman" w:eastAsia="宋体" w:cs="Times New Roman"/>
                      <w:szCs w:val="21"/>
                      <w:lang w:val="en-US" w:eastAsia="zh-CN"/>
                    </w:rPr>
                    <w:t>80</w:t>
                  </w:r>
                </w:p>
              </w:tc>
              <w:tc>
                <w:tcPr>
                  <w:tcW w:w="532" w:type="pct"/>
                  <w:noWrap w:val="0"/>
                  <w:vAlign w:val="center"/>
                </w:tcPr>
                <w:p>
                  <w:pPr>
                    <w:widowControl/>
                    <w:adjustRightInd w:val="0"/>
                    <w:ind w:right="-42" w:rightChars="-20"/>
                    <w:jc w:val="center"/>
                    <w:textAlignment w:val="baseline"/>
                    <w:rPr>
                      <w:szCs w:val="21"/>
                    </w:rPr>
                  </w:pPr>
                  <w:r>
                    <w:rPr>
                      <w:rFonts w:hint="eastAsia"/>
                      <w:kern w:val="0"/>
                      <w:szCs w:val="21"/>
                      <w:lang w:val="en-US" w:eastAsia="zh-CN"/>
                    </w:rPr>
                    <w:t>6</w:t>
                  </w:r>
                </w:p>
              </w:tc>
              <w:tc>
                <w:tcPr>
                  <w:tcW w:w="522" w:type="pct"/>
                  <w:noWrap w:val="0"/>
                  <w:vAlign w:val="center"/>
                </w:tcPr>
                <w:p>
                  <w:pPr>
                    <w:adjustRightInd w:val="0"/>
                    <w:snapToGrid w:val="0"/>
                    <w:jc w:val="center"/>
                    <w:rPr>
                      <w:szCs w:val="21"/>
                    </w:rPr>
                  </w:pPr>
                  <w:r>
                    <w:rPr>
                      <w:szCs w:val="21"/>
                    </w:rPr>
                    <w:t>25</w:t>
                  </w:r>
                </w:p>
              </w:tc>
              <w:tc>
                <w:tcPr>
                  <w:tcW w:w="528" w:type="pct"/>
                  <w:noWrap w:val="0"/>
                  <w:vAlign w:val="center"/>
                </w:tcPr>
                <w:p>
                  <w:pPr>
                    <w:widowControl/>
                    <w:jc w:val="center"/>
                    <w:textAlignment w:val="center"/>
                    <w:rPr>
                      <w:szCs w:val="21"/>
                    </w:rPr>
                  </w:pPr>
                  <w:r>
                    <w:rPr>
                      <w:rFonts w:hint="eastAsia"/>
                      <w:szCs w:val="21"/>
                      <w:lang w:val="en-US" w:eastAsia="zh-CN"/>
                    </w:rPr>
                    <w:t>92</w:t>
                  </w:r>
                </w:p>
              </w:tc>
              <w:tc>
                <w:tcPr>
                  <w:tcW w:w="615" w:type="pct"/>
                  <w:vMerge w:val="continue"/>
                  <w:noWrap w:val="0"/>
                  <w:vAlign w:val="center"/>
                </w:tcPr>
                <w:p>
                  <w:pPr>
                    <w:adjustRightInd w:val="0"/>
                    <w:snapToGrid w:val="0"/>
                    <w:jc w:val="center"/>
                    <w:rPr>
                      <w:szCs w:val="21"/>
                    </w:rPr>
                  </w:pPr>
                </w:p>
              </w:tc>
              <w:tc>
                <w:tcPr>
                  <w:tcW w:w="752" w:type="pct"/>
                  <w:vMerge w:val="continue"/>
                  <w:noWrap w:val="0"/>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continue"/>
                  <w:noWrap w:val="0"/>
                  <w:vAlign w:val="center"/>
                </w:tcPr>
                <w:p>
                  <w:pPr>
                    <w:adjustRightInd w:val="0"/>
                    <w:snapToGrid w:val="0"/>
                    <w:jc w:val="center"/>
                    <w:rPr>
                      <w:szCs w:val="21"/>
                    </w:rPr>
                  </w:pPr>
                </w:p>
              </w:tc>
              <w:tc>
                <w:tcPr>
                  <w:tcW w:w="1006" w:type="pct"/>
                  <w:noWrap w:val="0"/>
                  <w:vAlign w:val="center"/>
                </w:tcPr>
                <w:p>
                  <w:pPr>
                    <w:widowControl/>
                    <w:jc w:val="center"/>
                    <w:textAlignment w:val="center"/>
                    <w:rPr>
                      <w:szCs w:val="21"/>
                    </w:rPr>
                  </w:pPr>
                  <w:r>
                    <w:rPr>
                      <w:rFonts w:hint="eastAsia"/>
                      <w:szCs w:val="21"/>
                      <w:lang w:val="en-US" w:eastAsia="zh-CN"/>
                    </w:rPr>
                    <w:t>轴线去皮机</w:t>
                  </w:r>
                </w:p>
              </w:tc>
              <w:tc>
                <w:tcPr>
                  <w:tcW w:w="613" w:type="pct"/>
                  <w:noWrap w:val="0"/>
                  <w:vAlign w:val="center"/>
                </w:tcPr>
                <w:p>
                  <w:pPr>
                    <w:widowControl/>
                    <w:jc w:val="center"/>
                    <w:textAlignment w:val="center"/>
                    <w:rPr>
                      <w:szCs w:val="21"/>
                    </w:rPr>
                  </w:pPr>
                  <w:r>
                    <w:rPr>
                      <w:rFonts w:hint="eastAsia" w:ascii="Times New Roman" w:hAnsi="Times New Roman" w:eastAsia="宋体" w:cs="Times New Roman"/>
                      <w:szCs w:val="21"/>
                      <w:lang w:val="en-US" w:eastAsia="zh-CN"/>
                    </w:rPr>
                    <w:t>70</w:t>
                  </w:r>
                </w:p>
              </w:tc>
              <w:tc>
                <w:tcPr>
                  <w:tcW w:w="532" w:type="pct"/>
                  <w:noWrap w:val="0"/>
                  <w:vAlign w:val="center"/>
                </w:tcPr>
                <w:p>
                  <w:pPr>
                    <w:widowControl/>
                    <w:adjustRightInd w:val="0"/>
                    <w:ind w:right="-42" w:rightChars="-20"/>
                    <w:jc w:val="center"/>
                    <w:textAlignment w:val="baseline"/>
                    <w:rPr>
                      <w:szCs w:val="21"/>
                    </w:rPr>
                  </w:pPr>
                  <w:r>
                    <w:rPr>
                      <w:rFonts w:hint="eastAsia"/>
                      <w:kern w:val="0"/>
                      <w:szCs w:val="21"/>
                      <w:lang w:val="en-US" w:eastAsia="zh-CN"/>
                    </w:rPr>
                    <w:t>2</w:t>
                  </w:r>
                </w:p>
              </w:tc>
              <w:tc>
                <w:tcPr>
                  <w:tcW w:w="522" w:type="pct"/>
                  <w:noWrap w:val="0"/>
                  <w:vAlign w:val="center"/>
                </w:tcPr>
                <w:p>
                  <w:pPr>
                    <w:adjustRightInd w:val="0"/>
                    <w:snapToGrid w:val="0"/>
                    <w:jc w:val="center"/>
                    <w:rPr>
                      <w:szCs w:val="21"/>
                    </w:rPr>
                  </w:pPr>
                  <w:r>
                    <w:rPr>
                      <w:szCs w:val="21"/>
                    </w:rPr>
                    <w:t>25</w:t>
                  </w:r>
                </w:p>
              </w:tc>
              <w:tc>
                <w:tcPr>
                  <w:tcW w:w="528" w:type="pct"/>
                  <w:noWrap w:val="0"/>
                  <w:vAlign w:val="center"/>
                </w:tcPr>
                <w:p>
                  <w:pPr>
                    <w:widowControl/>
                    <w:jc w:val="center"/>
                    <w:textAlignment w:val="center"/>
                    <w:rPr>
                      <w:szCs w:val="21"/>
                    </w:rPr>
                  </w:pPr>
                  <w:r>
                    <w:rPr>
                      <w:rFonts w:hint="eastAsia"/>
                      <w:szCs w:val="21"/>
                      <w:lang w:val="en-US" w:eastAsia="zh-CN"/>
                    </w:rPr>
                    <w:t>60</w:t>
                  </w:r>
                </w:p>
              </w:tc>
              <w:tc>
                <w:tcPr>
                  <w:tcW w:w="615" w:type="pct"/>
                  <w:vMerge w:val="continue"/>
                  <w:noWrap w:val="0"/>
                  <w:vAlign w:val="center"/>
                </w:tcPr>
                <w:p>
                  <w:pPr>
                    <w:adjustRightInd w:val="0"/>
                    <w:snapToGrid w:val="0"/>
                    <w:jc w:val="center"/>
                    <w:rPr>
                      <w:szCs w:val="21"/>
                    </w:rPr>
                  </w:pPr>
                </w:p>
              </w:tc>
              <w:tc>
                <w:tcPr>
                  <w:tcW w:w="752" w:type="pct"/>
                  <w:vMerge w:val="continue"/>
                  <w:noWrap w:val="0"/>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continue"/>
                  <w:noWrap w:val="0"/>
                  <w:vAlign w:val="center"/>
                </w:tcPr>
                <w:p>
                  <w:pPr>
                    <w:adjustRightInd w:val="0"/>
                    <w:snapToGrid w:val="0"/>
                    <w:jc w:val="center"/>
                    <w:rPr>
                      <w:szCs w:val="21"/>
                    </w:rPr>
                  </w:pPr>
                </w:p>
              </w:tc>
              <w:tc>
                <w:tcPr>
                  <w:tcW w:w="1006" w:type="pct"/>
                  <w:noWrap w:val="0"/>
                  <w:vAlign w:val="center"/>
                </w:tcPr>
                <w:p>
                  <w:pPr>
                    <w:widowControl/>
                    <w:jc w:val="center"/>
                    <w:textAlignment w:val="center"/>
                    <w:rPr>
                      <w:rFonts w:hint="eastAsia"/>
                      <w:szCs w:val="21"/>
                      <w:lang w:val="en-US" w:eastAsia="zh-CN"/>
                    </w:rPr>
                  </w:pPr>
                  <w:r>
                    <w:rPr>
                      <w:rFonts w:hint="eastAsia" w:ascii="Times New Roman" w:hAnsi="Times New Roman" w:eastAsia="宋体" w:cs="Times New Roman"/>
                      <w:szCs w:val="21"/>
                      <w:lang w:val="en-US" w:eastAsia="zh-CN"/>
                    </w:rPr>
                    <w:t>风机</w:t>
                  </w:r>
                </w:p>
              </w:tc>
              <w:tc>
                <w:tcPr>
                  <w:tcW w:w="613"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w:t>
                  </w:r>
                </w:p>
              </w:tc>
              <w:tc>
                <w:tcPr>
                  <w:tcW w:w="532" w:type="pct"/>
                  <w:noWrap w:val="0"/>
                  <w:vAlign w:val="center"/>
                </w:tcPr>
                <w:p>
                  <w:pPr>
                    <w:widowControl/>
                    <w:adjustRightInd w:val="0"/>
                    <w:ind w:right="-42" w:rightChars="-20"/>
                    <w:jc w:val="center"/>
                    <w:textAlignment w:val="baseline"/>
                    <w:rPr>
                      <w:rFonts w:hint="eastAsia"/>
                      <w:kern w:val="0"/>
                      <w:szCs w:val="21"/>
                      <w:lang w:val="en-US" w:eastAsia="zh-CN"/>
                    </w:rPr>
                  </w:pPr>
                  <w:r>
                    <w:rPr>
                      <w:rFonts w:hint="eastAsia"/>
                      <w:kern w:val="0"/>
                      <w:szCs w:val="21"/>
                      <w:lang w:val="en-US" w:eastAsia="zh-CN"/>
                    </w:rPr>
                    <w:t>1</w:t>
                  </w:r>
                </w:p>
              </w:tc>
              <w:tc>
                <w:tcPr>
                  <w:tcW w:w="522" w:type="pct"/>
                  <w:noWrap w:val="0"/>
                  <w:vAlign w:val="center"/>
                </w:tcPr>
                <w:p>
                  <w:pPr>
                    <w:adjustRightInd w:val="0"/>
                    <w:snapToGrid w:val="0"/>
                    <w:jc w:val="center"/>
                    <w:rPr>
                      <w:szCs w:val="21"/>
                    </w:rPr>
                  </w:pPr>
                  <w:r>
                    <w:rPr>
                      <w:rFonts w:hint="eastAsia"/>
                      <w:szCs w:val="21"/>
                      <w:lang w:val="en-US" w:eastAsia="zh-CN"/>
                    </w:rPr>
                    <w:t>25</w:t>
                  </w:r>
                </w:p>
              </w:tc>
              <w:tc>
                <w:tcPr>
                  <w:tcW w:w="528" w:type="pct"/>
                  <w:noWrap w:val="0"/>
                  <w:vAlign w:val="center"/>
                </w:tcPr>
                <w:p>
                  <w:pPr>
                    <w:widowControl/>
                    <w:jc w:val="center"/>
                    <w:textAlignment w:val="center"/>
                    <w:rPr>
                      <w:rFonts w:hint="default"/>
                      <w:szCs w:val="21"/>
                      <w:lang w:val="en-US" w:eastAsia="zh-CN"/>
                    </w:rPr>
                  </w:pPr>
                  <w:r>
                    <w:rPr>
                      <w:rFonts w:hint="eastAsia"/>
                      <w:szCs w:val="21"/>
                      <w:lang w:val="en-US" w:eastAsia="zh-CN"/>
                    </w:rPr>
                    <w:t>109</w:t>
                  </w:r>
                </w:p>
              </w:tc>
              <w:tc>
                <w:tcPr>
                  <w:tcW w:w="615" w:type="pct"/>
                  <w:vMerge w:val="continue"/>
                  <w:noWrap w:val="0"/>
                  <w:vAlign w:val="center"/>
                </w:tcPr>
                <w:p>
                  <w:pPr>
                    <w:adjustRightInd w:val="0"/>
                    <w:snapToGrid w:val="0"/>
                    <w:jc w:val="center"/>
                    <w:rPr>
                      <w:szCs w:val="21"/>
                    </w:rPr>
                  </w:pPr>
                </w:p>
              </w:tc>
              <w:tc>
                <w:tcPr>
                  <w:tcW w:w="752" w:type="pct"/>
                  <w:vMerge w:val="continue"/>
                  <w:noWrap w:val="0"/>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restart"/>
                  <w:noWrap w:val="0"/>
                  <w:vAlign w:val="center"/>
                </w:tcPr>
                <w:p>
                  <w:pPr>
                    <w:adjustRightInd w:val="0"/>
                    <w:snapToGrid w:val="0"/>
                    <w:jc w:val="center"/>
                    <w:rPr>
                      <w:szCs w:val="21"/>
                    </w:rPr>
                  </w:pPr>
                  <w:r>
                    <w:rPr>
                      <w:szCs w:val="21"/>
                    </w:rPr>
                    <w:t>北厂界</w:t>
                  </w:r>
                </w:p>
              </w:tc>
              <w:tc>
                <w:tcPr>
                  <w:tcW w:w="1006" w:type="pct"/>
                  <w:noWrap w:val="0"/>
                  <w:vAlign w:val="center"/>
                </w:tcPr>
                <w:p>
                  <w:pPr>
                    <w:widowControl/>
                    <w:jc w:val="center"/>
                    <w:textAlignment w:val="center"/>
                  </w:pPr>
                  <w:r>
                    <w:rPr>
                      <w:rFonts w:hint="eastAsia"/>
                      <w:lang w:val="en-US" w:eastAsia="zh-CN"/>
                    </w:rPr>
                    <w:t>激光焊接机</w:t>
                  </w:r>
                </w:p>
              </w:tc>
              <w:tc>
                <w:tcPr>
                  <w:tcW w:w="613" w:type="pct"/>
                  <w:noWrap w:val="0"/>
                  <w:vAlign w:val="center"/>
                </w:tcPr>
                <w:p>
                  <w:pPr>
                    <w:widowControl/>
                    <w:jc w:val="center"/>
                    <w:textAlignment w:val="center"/>
                    <w:rPr>
                      <w:szCs w:val="21"/>
                    </w:rPr>
                  </w:pPr>
                  <w:r>
                    <w:rPr>
                      <w:rFonts w:hint="eastAsia"/>
                      <w:szCs w:val="21"/>
                      <w:lang w:val="en-US" w:eastAsia="zh-CN"/>
                    </w:rPr>
                    <w:t>75</w:t>
                  </w:r>
                </w:p>
              </w:tc>
              <w:tc>
                <w:tcPr>
                  <w:tcW w:w="532" w:type="pct"/>
                  <w:noWrap w:val="0"/>
                  <w:vAlign w:val="center"/>
                </w:tcPr>
                <w:p>
                  <w:pPr>
                    <w:widowControl/>
                    <w:adjustRightInd w:val="0"/>
                    <w:ind w:right="-42" w:rightChars="-20"/>
                    <w:jc w:val="center"/>
                    <w:textAlignment w:val="baseline"/>
                    <w:rPr>
                      <w:szCs w:val="21"/>
                    </w:rPr>
                  </w:pPr>
                  <w:r>
                    <w:rPr>
                      <w:rFonts w:hint="eastAsia"/>
                      <w:kern w:val="0"/>
                      <w:szCs w:val="21"/>
                      <w:lang w:val="en-US" w:eastAsia="zh-CN"/>
                    </w:rPr>
                    <w:t>8</w:t>
                  </w:r>
                </w:p>
              </w:tc>
              <w:tc>
                <w:tcPr>
                  <w:tcW w:w="522" w:type="pct"/>
                  <w:noWrap w:val="0"/>
                  <w:vAlign w:val="center"/>
                </w:tcPr>
                <w:p>
                  <w:pPr>
                    <w:adjustRightInd w:val="0"/>
                    <w:snapToGrid w:val="0"/>
                    <w:jc w:val="center"/>
                    <w:rPr>
                      <w:szCs w:val="21"/>
                    </w:rPr>
                  </w:pPr>
                  <w:r>
                    <w:rPr>
                      <w:szCs w:val="21"/>
                    </w:rPr>
                    <w:t>25</w:t>
                  </w:r>
                </w:p>
              </w:tc>
              <w:tc>
                <w:tcPr>
                  <w:tcW w:w="528" w:type="pct"/>
                  <w:noWrap w:val="0"/>
                  <w:vAlign w:val="center"/>
                </w:tcPr>
                <w:p>
                  <w:pPr>
                    <w:widowControl/>
                    <w:jc w:val="center"/>
                    <w:textAlignment w:val="center"/>
                    <w:rPr>
                      <w:rFonts w:hint="default" w:eastAsia="宋体"/>
                      <w:szCs w:val="21"/>
                      <w:lang w:val="en-US" w:eastAsia="zh-CN"/>
                    </w:rPr>
                  </w:pPr>
                  <w:r>
                    <w:rPr>
                      <w:rFonts w:hint="eastAsia"/>
                      <w:kern w:val="0"/>
                      <w:szCs w:val="21"/>
                      <w:lang w:val="en-US" w:eastAsia="zh-CN" w:bidi="ar"/>
                    </w:rPr>
                    <w:t>36</w:t>
                  </w:r>
                </w:p>
              </w:tc>
              <w:tc>
                <w:tcPr>
                  <w:tcW w:w="615" w:type="pct"/>
                  <w:vMerge w:val="restart"/>
                  <w:noWrap w:val="0"/>
                  <w:vAlign w:val="center"/>
                </w:tcPr>
                <w:p>
                  <w:pPr>
                    <w:adjustRightInd w:val="0"/>
                    <w:snapToGrid w:val="0"/>
                    <w:jc w:val="center"/>
                    <w:rPr>
                      <w:rFonts w:hint="default" w:eastAsia="宋体"/>
                      <w:szCs w:val="21"/>
                      <w:lang w:val="en-US" w:eastAsia="zh-CN"/>
                    </w:rPr>
                  </w:pPr>
                  <w:r>
                    <w:rPr>
                      <w:rFonts w:hint="eastAsia"/>
                      <w:szCs w:val="21"/>
                      <w:lang w:val="en-US" w:eastAsia="zh-CN"/>
                    </w:rPr>
                    <w:t>37.63</w:t>
                  </w:r>
                </w:p>
              </w:tc>
              <w:tc>
                <w:tcPr>
                  <w:tcW w:w="752" w:type="pct"/>
                  <w:vMerge w:val="restart"/>
                  <w:noWrap w:val="0"/>
                  <w:vAlign w:val="center"/>
                </w:tcPr>
                <w:p>
                  <w:pPr>
                    <w:adjustRightInd w:val="0"/>
                    <w:snapToGrid w:val="0"/>
                    <w:jc w:val="center"/>
                    <w:rPr>
                      <w:rFonts w:hint="default"/>
                      <w:szCs w:val="21"/>
                      <w:highlight w:val="none"/>
                      <w:lang w:val="en-US" w:eastAsia="zh-CN"/>
                    </w:rPr>
                  </w:pPr>
                  <w:r>
                    <w:rPr>
                      <w:rFonts w:hint="eastAsia"/>
                      <w:szCs w:val="21"/>
                      <w:highlight w:val="none"/>
                      <w:lang w:val="en-US" w:eastAsia="zh-CN"/>
                    </w:rPr>
                    <w:t>56.06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continue"/>
                  <w:noWrap w:val="0"/>
                  <w:vAlign w:val="center"/>
                </w:tcPr>
                <w:p>
                  <w:pPr>
                    <w:adjustRightInd w:val="0"/>
                    <w:snapToGrid w:val="0"/>
                    <w:jc w:val="center"/>
                    <w:rPr>
                      <w:szCs w:val="21"/>
                    </w:rPr>
                  </w:pPr>
                </w:p>
              </w:tc>
              <w:tc>
                <w:tcPr>
                  <w:tcW w:w="1006" w:type="pct"/>
                  <w:noWrap w:val="0"/>
                  <w:vAlign w:val="center"/>
                </w:tcPr>
                <w:p>
                  <w:pPr>
                    <w:widowControl/>
                    <w:jc w:val="center"/>
                    <w:textAlignment w:val="center"/>
                  </w:pPr>
                  <w:r>
                    <w:rPr>
                      <w:rFonts w:hint="eastAsia"/>
                      <w:lang w:val="en-US" w:eastAsia="zh-CN"/>
                    </w:rPr>
                    <w:t>磁力研磨机</w:t>
                  </w:r>
                </w:p>
              </w:tc>
              <w:tc>
                <w:tcPr>
                  <w:tcW w:w="613" w:type="pct"/>
                  <w:noWrap w:val="0"/>
                  <w:vAlign w:val="center"/>
                </w:tcPr>
                <w:p>
                  <w:pPr>
                    <w:widowControl/>
                    <w:jc w:val="center"/>
                    <w:textAlignment w:val="center"/>
                    <w:rPr>
                      <w:szCs w:val="21"/>
                    </w:rPr>
                  </w:pPr>
                  <w:r>
                    <w:rPr>
                      <w:rFonts w:hint="eastAsia" w:ascii="Times New Roman" w:hAnsi="Times New Roman" w:eastAsia="宋体" w:cs="Times New Roman"/>
                      <w:szCs w:val="21"/>
                      <w:lang w:val="en-US" w:eastAsia="zh-CN"/>
                    </w:rPr>
                    <w:t>60</w:t>
                  </w:r>
                </w:p>
              </w:tc>
              <w:tc>
                <w:tcPr>
                  <w:tcW w:w="532" w:type="pct"/>
                  <w:noWrap w:val="0"/>
                  <w:vAlign w:val="center"/>
                </w:tcPr>
                <w:p>
                  <w:pPr>
                    <w:widowControl/>
                    <w:adjustRightInd w:val="0"/>
                    <w:ind w:right="-42" w:rightChars="-20"/>
                    <w:jc w:val="center"/>
                    <w:textAlignment w:val="baseline"/>
                    <w:rPr>
                      <w:szCs w:val="21"/>
                    </w:rPr>
                  </w:pPr>
                  <w:r>
                    <w:rPr>
                      <w:rFonts w:hint="eastAsia"/>
                      <w:szCs w:val="21"/>
                      <w:lang w:val="en-US" w:eastAsia="zh-CN"/>
                    </w:rPr>
                    <w:t>2</w:t>
                  </w:r>
                </w:p>
              </w:tc>
              <w:tc>
                <w:tcPr>
                  <w:tcW w:w="522" w:type="pct"/>
                  <w:noWrap w:val="0"/>
                  <w:vAlign w:val="center"/>
                </w:tcPr>
                <w:p>
                  <w:pPr>
                    <w:adjustRightInd w:val="0"/>
                    <w:snapToGrid w:val="0"/>
                    <w:jc w:val="center"/>
                    <w:rPr>
                      <w:szCs w:val="21"/>
                    </w:rPr>
                  </w:pPr>
                  <w:r>
                    <w:rPr>
                      <w:szCs w:val="21"/>
                    </w:rPr>
                    <w:t>25</w:t>
                  </w:r>
                </w:p>
              </w:tc>
              <w:tc>
                <w:tcPr>
                  <w:tcW w:w="528" w:type="pct"/>
                  <w:noWrap w:val="0"/>
                  <w:vAlign w:val="center"/>
                </w:tcPr>
                <w:p>
                  <w:pPr>
                    <w:widowControl/>
                    <w:jc w:val="center"/>
                    <w:textAlignment w:val="center"/>
                    <w:rPr>
                      <w:rFonts w:hint="default" w:eastAsia="宋体"/>
                      <w:szCs w:val="21"/>
                      <w:lang w:val="en-US" w:eastAsia="zh-CN"/>
                    </w:rPr>
                  </w:pPr>
                  <w:r>
                    <w:rPr>
                      <w:rFonts w:hint="eastAsia"/>
                      <w:kern w:val="0"/>
                      <w:szCs w:val="21"/>
                      <w:lang w:val="en-US" w:eastAsia="zh-CN" w:bidi="ar"/>
                    </w:rPr>
                    <w:t>25</w:t>
                  </w:r>
                </w:p>
              </w:tc>
              <w:tc>
                <w:tcPr>
                  <w:tcW w:w="615" w:type="pct"/>
                  <w:vMerge w:val="continue"/>
                  <w:noWrap w:val="0"/>
                  <w:vAlign w:val="center"/>
                </w:tcPr>
                <w:p>
                  <w:pPr>
                    <w:adjustRightInd w:val="0"/>
                    <w:snapToGrid w:val="0"/>
                    <w:jc w:val="center"/>
                    <w:rPr>
                      <w:szCs w:val="21"/>
                    </w:rPr>
                  </w:pPr>
                </w:p>
              </w:tc>
              <w:tc>
                <w:tcPr>
                  <w:tcW w:w="752" w:type="pct"/>
                  <w:vMerge w:val="continue"/>
                  <w:noWrap w:val="0"/>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continue"/>
                  <w:noWrap w:val="0"/>
                  <w:vAlign w:val="center"/>
                </w:tcPr>
                <w:p>
                  <w:pPr>
                    <w:adjustRightInd w:val="0"/>
                    <w:snapToGrid w:val="0"/>
                    <w:jc w:val="center"/>
                    <w:rPr>
                      <w:szCs w:val="21"/>
                    </w:rPr>
                  </w:pPr>
                </w:p>
              </w:tc>
              <w:tc>
                <w:tcPr>
                  <w:tcW w:w="1006" w:type="pct"/>
                  <w:noWrap w:val="0"/>
                  <w:vAlign w:val="center"/>
                </w:tcPr>
                <w:p>
                  <w:pPr>
                    <w:widowControl/>
                    <w:jc w:val="center"/>
                    <w:textAlignment w:val="center"/>
                    <w:rPr>
                      <w:szCs w:val="21"/>
                    </w:rPr>
                  </w:pPr>
                  <w:r>
                    <w:rPr>
                      <w:rFonts w:hint="eastAsia"/>
                      <w:szCs w:val="21"/>
                      <w:lang w:val="en-US" w:eastAsia="zh-CN"/>
                    </w:rPr>
                    <w:t>超声波清洗机</w:t>
                  </w:r>
                </w:p>
              </w:tc>
              <w:tc>
                <w:tcPr>
                  <w:tcW w:w="613" w:type="pct"/>
                  <w:noWrap w:val="0"/>
                  <w:vAlign w:val="center"/>
                </w:tcPr>
                <w:p>
                  <w:pPr>
                    <w:widowControl/>
                    <w:jc w:val="center"/>
                    <w:textAlignment w:val="center"/>
                    <w:rPr>
                      <w:szCs w:val="21"/>
                    </w:rPr>
                  </w:pPr>
                  <w:r>
                    <w:rPr>
                      <w:rFonts w:hint="eastAsia" w:ascii="Times New Roman" w:hAnsi="Times New Roman" w:eastAsia="宋体" w:cs="Times New Roman"/>
                      <w:szCs w:val="21"/>
                      <w:lang w:val="en-US" w:eastAsia="zh-CN"/>
                    </w:rPr>
                    <w:t>80</w:t>
                  </w:r>
                </w:p>
              </w:tc>
              <w:tc>
                <w:tcPr>
                  <w:tcW w:w="532" w:type="pct"/>
                  <w:noWrap w:val="0"/>
                  <w:vAlign w:val="center"/>
                </w:tcPr>
                <w:p>
                  <w:pPr>
                    <w:widowControl/>
                    <w:adjustRightInd w:val="0"/>
                    <w:ind w:right="-42" w:rightChars="-20"/>
                    <w:jc w:val="center"/>
                    <w:textAlignment w:val="baseline"/>
                    <w:rPr>
                      <w:szCs w:val="21"/>
                    </w:rPr>
                  </w:pPr>
                  <w:r>
                    <w:rPr>
                      <w:rFonts w:hint="eastAsia"/>
                      <w:kern w:val="0"/>
                      <w:szCs w:val="21"/>
                      <w:lang w:val="en-US" w:eastAsia="zh-CN"/>
                    </w:rPr>
                    <w:t>6</w:t>
                  </w:r>
                </w:p>
              </w:tc>
              <w:tc>
                <w:tcPr>
                  <w:tcW w:w="522" w:type="pct"/>
                  <w:noWrap w:val="0"/>
                  <w:vAlign w:val="center"/>
                </w:tcPr>
                <w:p>
                  <w:pPr>
                    <w:adjustRightInd w:val="0"/>
                    <w:snapToGrid w:val="0"/>
                    <w:jc w:val="center"/>
                    <w:rPr>
                      <w:szCs w:val="21"/>
                    </w:rPr>
                  </w:pPr>
                  <w:r>
                    <w:rPr>
                      <w:szCs w:val="21"/>
                    </w:rPr>
                    <w:t>25</w:t>
                  </w:r>
                </w:p>
              </w:tc>
              <w:tc>
                <w:tcPr>
                  <w:tcW w:w="528" w:type="pct"/>
                  <w:noWrap w:val="0"/>
                  <w:vAlign w:val="center"/>
                </w:tcPr>
                <w:p>
                  <w:pPr>
                    <w:widowControl/>
                    <w:jc w:val="center"/>
                    <w:textAlignment w:val="center"/>
                    <w:rPr>
                      <w:rFonts w:hint="default" w:eastAsia="宋体"/>
                      <w:szCs w:val="21"/>
                      <w:lang w:val="en-US" w:eastAsia="zh-CN"/>
                    </w:rPr>
                  </w:pPr>
                  <w:r>
                    <w:rPr>
                      <w:rFonts w:hint="eastAsia"/>
                      <w:kern w:val="0"/>
                      <w:szCs w:val="21"/>
                      <w:lang w:val="en-US" w:eastAsia="zh-CN" w:bidi="ar"/>
                    </w:rPr>
                    <w:t>9</w:t>
                  </w:r>
                </w:p>
              </w:tc>
              <w:tc>
                <w:tcPr>
                  <w:tcW w:w="615" w:type="pct"/>
                  <w:vMerge w:val="continue"/>
                  <w:noWrap w:val="0"/>
                  <w:vAlign w:val="center"/>
                </w:tcPr>
                <w:p>
                  <w:pPr>
                    <w:adjustRightInd w:val="0"/>
                    <w:snapToGrid w:val="0"/>
                    <w:jc w:val="center"/>
                    <w:rPr>
                      <w:szCs w:val="21"/>
                    </w:rPr>
                  </w:pPr>
                </w:p>
              </w:tc>
              <w:tc>
                <w:tcPr>
                  <w:tcW w:w="752" w:type="pct"/>
                  <w:vMerge w:val="continue"/>
                  <w:noWrap w:val="0"/>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continue"/>
                  <w:noWrap w:val="0"/>
                  <w:vAlign w:val="center"/>
                </w:tcPr>
                <w:p>
                  <w:pPr>
                    <w:adjustRightInd w:val="0"/>
                    <w:snapToGrid w:val="0"/>
                    <w:jc w:val="center"/>
                    <w:rPr>
                      <w:szCs w:val="21"/>
                    </w:rPr>
                  </w:pPr>
                </w:p>
              </w:tc>
              <w:tc>
                <w:tcPr>
                  <w:tcW w:w="1006" w:type="pct"/>
                  <w:noWrap w:val="0"/>
                  <w:vAlign w:val="center"/>
                </w:tcPr>
                <w:p>
                  <w:pPr>
                    <w:widowControl/>
                    <w:jc w:val="center"/>
                    <w:textAlignment w:val="center"/>
                    <w:rPr>
                      <w:szCs w:val="21"/>
                    </w:rPr>
                  </w:pPr>
                  <w:r>
                    <w:rPr>
                      <w:rFonts w:hint="eastAsia"/>
                      <w:szCs w:val="21"/>
                      <w:lang w:val="en-US" w:eastAsia="zh-CN"/>
                    </w:rPr>
                    <w:t>轴线去皮机</w:t>
                  </w:r>
                </w:p>
              </w:tc>
              <w:tc>
                <w:tcPr>
                  <w:tcW w:w="613" w:type="pct"/>
                  <w:noWrap w:val="0"/>
                  <w:vAlign w:val="center"/>
                </w:tcPr>
                <w:p>
                  <w:pPr>
                    <w:widowControl/>
                    <w:jc w:val="center"/>
                    <w:textAlignment w:val="center"/>
                    <w:rPr>
                      <w:szCs w:val="21"/>
                    </w:rPr>
                  </w:pPr>
                  <w:r>
                    <w:rPr>
                      <w:rFonts w:hint="eastAsia" w:ascii="Times New Roman" w:hAnsi="Times New Roman" w:eastAsia="宋体" w:cs="Times New Roman"/>
                      <w:szCs w:val="21"/>
                      <w:lang w:val="en-US" w:eastAsia="zh-CN"/>
                    </w:rPr>
                    <w:t>70</w:t>
                  </w:r>
                </w:p>
              </w:tc>
              <w:tc>
                <w:tcPr>
                  <w:tcW w:w="532" w:type="pct"/>
                  <w:noWrap w:val="0"/>
                  <w:vAlign w:val="center"/>
                </w:tcPr>
                <w:p>
                  <w:pPr>
                    <w:widowControl/>
                    <w:adjustRightInd w:val="0"/>
                    <w:ind w:right="-42" w:rightChars="-20"/>
                    <w:jc w:val="center"/>
                    <w:textAlignment w:val="baseline"/>
                    <w:rPr>
                      <w:szCs w:val="21"/>
                    </w:rPr>
                  </w:pPr>
                  <w:r>
                    <w:rPr>
                      <w:rFonts w:hint="eastAsia"/>
                      <w:kern w:val="0"/>
                      <w:szCs w:val="21"/>
                      <w:lang w:val="en-US" w:eastAsia="zh-CN"/>
                    </w:rPr>
                    <w:t>2</w:t>
                  </w:r>
                </w:p>
              </w:tc>
              <w:tc>
                <w:tcPr>
                  <w:tcW w:w="522" w:type="pct"/>
                  <w:noWrap w:val="0"/>
                  <w:vAlign w:val="center"/>
                </w:tcPr>
                <w:p>
                  <w:pPr>
                    <w:adjustRightInd w:val="0"/>
                    <w:snapToGrid w:val="0"/>
                    <w:jc w:val="center"/>
                    <w:rPr>
                      <w:szCs w:val="21"/>
                    </w:rPr>
                  </w:pPr>
                  <w:r>
                    <w:rPr>
                      <w:szCs w:val="21"/>
                    </w:rPr>
                    <w:t>25</w:t>
                  </w:r>
                </w:p>
              </w:tc>
              <w:tc>
                <w:tcPr>
                  <w:tcW w:w="528" w:type="pct"/>
                  <w:noWrap w:val="0"/>
                  <w:vAlign w:val="center"/>
                </w:tcPr>
                <w:p>
                  <w:pPr>
                    <w:widowControl/>
                    <w:jc w:val="center"/>
                    <w:textAlignment w:val="center"/>
                    <w:rPr>
                      <w:rFonts w:hint="default" w:eastAsia="宋体"/>
                      <w:szCs w:val="21"/>
                      <w:lang w:val="en-US" w:eastAsia="zh-CN"/>
                    </w:rPr>
                  </w:pPr>
                  <w:r>
                    <w:rPr>
                      <w:rFonts w:hint="eastAsia"/>
                      <w:kern w:val="0"/>
                      <w:szCs w:val="21"/>
                      <w:lang w:val="en-US" w:eastAsia="zh-CN" w:bidi="ar"/>
                    </w:rPr>
                    <w:t>41</w:t>
                  </w:r>
                </w:p>
              </w:tc>
              <w:tc>
                <w:tcPr>
                  <w:tcW w:w="615" w:type="pct"/>
                  <w:vMerge w:val="continue"/>
                  <w:noWrap w:val="0"/>
                  <w:vAlign w:val="center"/>
                </w:tcPr>
                <w:p>
                  <w:pPr>
                    <w:adjustRightInd w:val="0"/>
                    <w:snapToGrid w:val="0"/>
                    <w:jc w:val="center"/>
                    <w:rPr>
                      <w:szCs w:val="21"/>
                    </w:rPr>
                  </w:pPr>
                </w:p>
              </w:tc>
              <w:tc>
                <w:tcPr>
                  <w:tcW w:w="752" w:type="pct"/>
                  <w:vMerge w:val="continue"/>
                  <w:noWrap w:val="0"/>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vMerge w:val="continue"/>
                  <w:noWrap w:val="0"/>
                  <w:vAlign w:val="center"/>
                </w:tcPr>
                <w:p>
                  <w:pPr>
                    <w:adjustRightInd w:val="0"/>
                    <w:snapToGrid w:val="0"/>
                    <w:jc w:val="center"/>
                    <w:rPr>
                      <w:szCs w:val="21"/>
                    </w:rPr>
                  </w:pPr>
                </w:p>
              </w:tc>
              <w:tc>
                <w:tcPr>
                  <w:tcW w:w="1006" w:type="pct"/>
                  <w:noWrap w:val="0"/>
                  <w:vAlign w:val="center"/>
                </w:tcPr>
                <w:p>
                  <w:pPr>
                    <w:widowControl/>
                    <w:jc w:val="center"/>
                    <w:textAlignment w:val="center"/>
                    <w:rPr>
                      <w:rFonts w:hint="eastAsia"/>
                      <w:szCs w:val="21"/>
                      <w:lang w:val="en-US" w:eastAsia="zh-CN"/>
                    </w:rPr>
                  </w:pPr>
                  <w:r>
                    <w:rPr>
                      <w:rFonts w:hint="eastAsia" w:ascii="Times New Roman" w:hAnsi="Times New Roman" w:eastAsia="宋体" w:cs="Times New Roman"/>
                      <w:szCs w:val="21"/>
                      <w:lang w:val="en-US" w:eastAsia="zh-CN"/>
                    </w:rPr>
                    <w:t>风机</w:t>
                  </w:r>
                </w:p>
              </w:tc>
              <w:tc>
                <w:tcPr>
                  <w:tcW w:w="613" w:type="pct"/>
                  <w:noWrap w:val="0"/>
                  <w:vAlign w:val="center"/>
                </w:tcPr>
                <w:p>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w:t>
                  </w:r>
                </w:p>
              </w:tc>
              <w:tc>
                <w:tcPr>
                  <w:tcW w:w="532" w:type="pct"/>
                  <w:noWrap w:val="0"/>
                  <w:vAlign w:val="center"/>
                </w:tcPr>
                <w:p>
                  <w:pPr>
                    <w:widowControl/>
                    <w:adjustRightInd w:val="0"/>
                    <w:ind w:right="-42" w:rightChars="-20"/>
                    <w:jc w:val="center"/>
                    <w:textAlignment w:val="baseline"/>
                    <w:rPr>
                      <w:rFonts w:hint="eastAsia"/>
                      <w:kern w:val="0"/>
                      <w:szCs w:val="21"/>
                      <w:lang w:val="en-US" w:eastAsia="zh-CN"/>
                    </w:rPr>
                  </w:pPr>
                  <w:r>
                    <w:rPr>
                      <w:rFonts w:hint="eastAsia"/>
                      <w:kern w:val="0"/>
                      <w:szCs w:val="21"/>
                      <w:lang w:val="en-US" w:eastAsia="zh-CN"/>
                    </w:rPr>
                    <w:t>1</w:t>
                  </w:r>
                </w:p>
              </w:tc>
              <w:tc>
                <w:tcPr>
                  <w:tcW w:w="522" w:type="pct"/>
                  <w:noWrap w:val="0"/>
                  <w:vAlign w:val="center"/>
                </w:tcPr>
                <w:p>
                  <w:pPr>
                    <w:adjustRightInd w:val="0"/>
                    <w:snapToGrid w:val="0"/>
                    <w:jc w:val="center"/>
                    <w:rPr>
                      <w:szCs w:val="21"/>
                    </w:rPr>
                  </w:pPr>
                  <w:r>
                    <w:rPr>
                      <w:rFonts w:hint="eastAsia"/>
                      <w:szCs w:val="21"/>
                      <w:lang w:val="en-US" w:eastAsia="zh-CN"/>
                    </w:rPr>
                    <w:t>25</w:t>
                  </w:r>
                </w:p>
              </w:tc>
              <w:tc>
                <w:tcPr>
                  <w:tcW w:w="528" w:type="pct"/>
                  <w:noWrap w:val="0"/>
                  <w:vAlign w:val="center"/>
                </w:tcPr>
                <w:p>
                  <w:pPr>
                    <w:widowControl/>
                    <w:jc w:val="center"/>
                    <w:textAlignment w:val="center"/>
                    <w:rPr>
                      <w:rFonts w:hint="default"/>
                      <w:kern w:val="0"/>
                      <w:szCs w:val="21"/>
                      <w:lang w:val="en-US" w:eastAsia="zh-CN" w:bidi="ar"/>
                    </w:rPr>
                  </w:pPr>
                  <w:r>
                    <w:rPr>
                      <w:rFonts w:hint="eastAsia"/>
                      <w:kern w:val="0"/>
                      <w:szCs w:val="21"/>
                      <w:lang w:val="en-US" w:eastAsia="zh-CN" w:bidi="ar"/>
                    </w:rPr>
                    <w:t>9</w:t>
                  </w:r>
                </w:p>
              </w:tc>
              <w:tc>
                <w:tcPr>
                  <w:tcW w:w="615" w:type="pct"/>
                  <w:vMerge w:val="continue"/>
                  <w:noWrap w:val="0"/>
                  <w:vAlign w:val="center"/>
                </w:tcPr>
                <w:p>
                  <w:pPr>
                    <w:adjustRightInd w:val="0"/>
                    <w:snapToGrid w:val="0"/>
                    <w:jc w:val="center"/>
                    <w:rPr>
                      <w:szCs w:val="21"/>
                    </w:rPr>
                  </w:pPr>
                </w:p>
              </w:tc>
              <w:tc>
                <w:tcPr>
                  <w:tcW w:w="752" w:type="pct"/>
                  <w:vMerge w:val="continue"/>
                  <w:noWrap w:val="0"/>
                  <w:vAlign w:val="center"/>
                </w:tcPr>
                <w:p>
                  <w:pPr>
                    <w:adjustRightInd w:val="0"/>
                    <w:snapToGrid w:val="0"/>
                    <w:jc w:val="center"/>
                    <w:rPr>
                      <w:szCs w:val="21"/>
                    </w:rPr>
                  </w:pPr>
                </w:p>
              </w:tc>
            </w:tr>
          </w:tbl>
          <w:p>
            <w:pPr>
              <w:pStyle w:val="10"/>
              <w:spacing w:before="120" w:beforeLines="50" w:line="360" w:lineRule="auto"/>
              <w:ind w:left="0" w:leftChars="0" w:right="0" w:rightChars="0" w:firstLine="482"/>
              <w:jc w:val="left"/>
              <w:rPr>
                <w:b/>
                <w:bCs/>
                <w:color w:val="auto"/>
                <w:sz w:val="24"/>
              </w:rPr>
            </w:pPr>
            <w:r>
              <w:rPr>
                <w:rFonts w:hint="eastAsia"/>
                <w:b/>
                <w:bCs/>
                <w:color w:val="auto"/>
                <w:sz w:val="24"/>
              </w:rPr>
              <w:t>（3）声环境影响分析结论</w:t>
            </w:r>
          </w:p>
          <w:p>
            <w:pPr>
              <w:pStyle w:val="10"/>
              <w:spacing w:line="360" w:lineRule="auto"/>
              <w:ind w:left="0" w:leftChars="0" w:right="0" w:rightChars="0" w:firstLine="480"/>
              <w:rPr>
                <w:color w:val="auto"/>
                <w:sz w:val="24"/>
              </w:rPr>
            </w:pPr>
            <w:r>
              <w:rPr>
                <w:color w:val="auto"/>
                <w:sz w:val="24"/>
              </w:rPr>
              <w:t>建设项目高噪声设备</w:t>
            </w:r>
            <w:r>
              <w:rPr>
                <w:rFonts w:hint="eastAsia"/>
                <w:color w:val="auto"/>
                <w:sz w:val="24"/>
              </w:rPr>
              <w:t>通过合理布局、</w:t>
            </w:r>
            <w:r>
              <w:rPr>
                <w:color w:val="auto"/>
                <w:sz w:val="24"/>
              </w:rPr>
              <w:t>消声减振和距离衰减后，对东、南、西、北各边界的噪声贡献值分别为</w:t>
            </w:r>
            <w:r>
              <w:rPr>
                <w:rFonts w:hint="eastAsia"/>
                <w:color w:val="auto"/>
                <w:sz w:val="24"/>
                <w:lang w:val="en-US" w:eastAsia="zh-CN"/>
              </w:rPr>
              <w:t>40.28</w:t>
            </w:r>
            <w:r>
              <w:rPr>
                <w:color w:val="auto"/>
                <w:sz w:val="24"/>
              </w:rPr>
              <w:t>dB(A)、</w:t>
            </w:r>
            <w:r>
              <w:rPr>
                <w:rFonts w:hint="eastAsia"/>
                <w:color w:val="auto"/>
                <w:sz w:val="24"/>
                <w:lang w:val="en-US" w:eastAsia="zh-CN"/>
              </w:rPr>
              <w:t>45.32</w:t>
            </w:r>
            <w:r>
              <w:rPr>
                <w:color w:val="auto"/>
                <w:sz w:val="24"/>
              </w:rPr>
              <w:t>dB(A)、</w:t>
            </w:r>
            <w:r>
              <w:rPr>
                <w:rFonts w:hint="eastAsia"/>
                <w:color w:val="auto"/>
                <w:sz w:val="24"/>
                <w:lang w:val="en-US" w:eastAsia="zh-CN"/>
              </w:rPr>
              <w:t>22.77</w:t>
            </w:r>
            <w:r>
              <w:rPr>
                <w:color w:val="auto"/>
                <w:sz w:val="24"/>
              </w:rPr>
              <w:t>dB(A)、</w:t>
            </w:r>
            <w:r>
              <w:rPr>
                <w:rFonts w:hint="eastAsia"/>
                <w:color w:val="auto"/>
                <w:sz w:val="24"/>
                <w:lang w:val="en-US" w:eastAsia="zh-CN"/>
              </w:rPr>
              <w:t>37.63</w:t>
            </w:r>
            <w:r>
              <w:rPr>
                <w:color w:val="auto"/>
                <w:sz w:val="24"/>
              </w:rPr>
              <w:t>dB(A)</w:t>
            </w:r>
            <w:r>
              <w:rPr>
                <w:rFonts w:hint="eastAsia"/>
                <w:color w:val="auto"/>
                <w:sz w:val="24"/>
                <w:lang w:eastAsia="zh-CN"/>
              </w:rPr>
              <w:t>，</w:t>
            </w:r>
            <w:r>
              <w:rPr>
                <w:color w:val="auto"/>
                <w:sz w:val="24"/>
              </w:rPr>
              <w:t>满足《工业企业厂界环境噪声排放标准》（GB12348-2008）</w:t>
            </w:r>
            <w:r>
              <w:rPr>
                <w:rFonts w:hint="eastAsia"/>
                <w:color w:val="auto"/>
                <w:sz w:val="24"/>
              </w:rPr>
              <w:t>2</w:t>
            </w:r>
            <w:r>
              <w:rPr>
                <w:color w:val="auto"/>
                <w:sz w:val="24"/>
              </w:rPr>
              <w:t>类标准</w:t>
            </w:r>
            <w:r>
              <w:rPr>
                <w:rFonts w:hint="eastAsia"/>
                <w:color w:val="auto"/>
                <w:sz w:val="24"/>
                <w:lang w:eastAsia="zh-CN"/>
              </w:rPr>
              <w:t>，叠加背景值后</w:t>
            </w:r>
            <w:r>
              <w:rPr>
                <w:color w:val="auto"/>
                <w:sz w:val="24"/>
              </w:rPr>
              <w:t>厂界噪声</w:t>
            </w:r>
            <w:r>
              <w:rPr>
                <w:rFonts w:hint="eastAsia"/>
                <w:color w:val="auto"/>
                <w:sz w:val="24"/>
                <w:lang w:eastAsia="zh-CN"/>
              </w:rPr>
              <w:t>值</w:t>
            </w:r>
            <w:r>
              <w:rPr>
                <w:rFonts w:hint="eastAsia"/>
                <w:color w:val="auto"/>
                <w:sz w:val="24"/>
                <w:lang w:val="en-US" w:eastAsia="zh-CN"/>
              </w:rPr>
              <w:t>仍</w:t>
            </w:r>
            <w:r>
              <w:rPr>
                <w:rFonts w:hint="eastAsia"/>
                <w:color w:val="auto"/>
                <w:sz w:val="24"/>
                <w:lang w:eastAsia="zh-CN"/>
              </w:rPr>
              <w:t>能够</w:t>
            </w:r>
            <w:r>
              <w:rPr>
                <w:color w:val="auto"/>
                <w:sz w:val="24"/>
              </w:rPr>
              <w:t>满足《工业企业厂界环境噪声排放标准》（GB12348-2008）</w:t>
            </w:r>
            <w:r>
              <w:rPr>
                <w:rFonts w:hint="eastAsia"/>
                <w:color w:val="auto"/>
                <w:sz w:val="24"/>
              </w:rPr>
              <w:t>2</w:t>
            </w:r>
            <w:r>
              <w:rPr>
                <w:color w:val="auto"/>
                <w:sz w:val="24"/>
              </w:rPr>
              <w:t>类标准。因此本项目噪声源对周围环境影响较小，不会</w:t>
            </w:r>
            <w:r>
              <w:rPr>
                <w:rFonts w:hint="eastAsia"/>
                <w:color w:val="auto"/>
                <w:sz w:val="24"/>
              </w:rPr>
              <w:t>降低当地的环境声功能级别</w:t>
            </w:r>
            <w:r>
              <w:rPr>
                <w:color w:val="auto"/>
                <w:sz w:val="24"/>
              </w:rPr>
              <w:t>。</w:t>
            </w:r>
          </w:p>
          <w:p>
            <w:pPr>
              <w:pStyle w:val="10"/>
              <w:spacing w:line="360" w:lineRule="auto"/>
              <w:ind w:left="0" w:leftChars="0" w:right="0" w:rightChars="0" w:firstLine="482"/>
              <w:jc w:val="left"/>
              <w:rPr>
                <w:b/>
                <w:bCs/>
                <w:color w:val="auto"/>
                <w:sz w:val="24"/>
              </w:rPr>
            </w:pPr>
            <w:r>
              <w:rPr>
                <w:rFonts w:hint="eastAsia"/>
                <w:b/>
                <w:bCs/>
                <w:color w:val="auto"/>
                <w:sz w:val="24"/>
              </w:rPr>
              <w:t>（4）</w:t>
            </w:r>
            <w:r>
              <w:rPr>
                <w:b/>
                <w:bCs/>
                <w:color w:val="auto"/>
                <w:sz w:val="24"/>
              </w:rPr>
              <w:t>噪声源监测计划</w:t>
            </w:r>
          </w:p>
          <w:p>
            <w:pPr>
              <w:pStyle w:val="5"/>
              <w:adjustRightInd w:val="0"/>
              <w:snapToGrid w:val="0"/>
              <w:spacing w:line="360" w:lineRule="auto"/>
              <w:ind w:firstLine="480"/>
              <w:rPr>
                <w:b/>
                <w:sz w:val="24"/>
              </w:rPr>
            </w:pPr>
            <w:r>
              <w:rPr>
                <w:sz w:val="24"/>
              </w:rPr>
              <w:t>根据《</w:t>
            </w:r>
            <w:r>
              <w:rPr>
                <w:rFonts w:hint="eastAsia"/>
                <w:sz w:val="24"/>
              </w:rPr>
              <w:t>排污单位自行监测技术指南 总则</w:t>
            </w:r>
            <w:r>
              <w:rPr>
                <w:sz w:val="24"/>
              </w:rPr>
              <w:t>》（HJ</w:t>
            </w:r>
            <w:r>
              <w:rPr>
                <w:rFonts w:hint="eastAsia"/>
                <w:sz w:val="24"/>
              </w:rPr>
              <w:t>819-2017</w:t>
            </w:r>
            <w:r>
              <w:rPr>
                <w:sz w:val="24"/>
              </w:rPr>
              <w:t>）中相关要求</w:t>
            </w:r>
            <w:r>
              <w:rPr>
                <w:rFonts w:hint="eastAsia"/>
                <w:sz w:val="24"/>
              </w:rPr>
              <w:t>，</w:t>
            </w:r>
            <w:r>
              <w:rPr>
                <w:sz w:val="24"/>
              </w:rPr>
              <w:t>建设单位噪声例行监测计划和验收检测方案详见表</w:t>
            </w:r>
            <w:r>
              <w:rPr>
                <w:rFonts w:hint="eastAsia"/>
                <w:sz w:val="24"/>
              </w:rPr>
              <w:t>4-</w:t>
            </w:r>
            <w:r>
              <w:rPr>
                <w:rFonts w:hint="eastAsia"/>
                <w:sz w:val="24"/>
                <w:lang w:val="en-US" w:eastAsia="zh-CN"/>
              </w:rPr>
              <w:t>7</w:t>
            </w:r>
            <w:r>
              <w:rPr>
                <w:sz w:val="24"/>
              </w:rPr>
              <w:t>。</w:t>
            </w:r>
          </w:p>
          <w:p>
            <w:pPr>
              <w:adjustRightInd w:val="0"/>
              <w:snapToGrid w:val="0"/>
              <w:jc w:val="center"/>
              <w:rPr>
                <w:b/>
                <w:sz w:val="24"/>
              </w:rPr>
            </w:pPr>
            <w:r>
              <w:rPr>
                <w:b/>
                <w:sz w:val="24"/>
              </w:rPr>
              <w:t>表4</w:t>
            </w:r>
            <w:r>
              <w:rPr>
                <w:rFonts w:hint="eastAsia"/>
                <w:b/>
                <w:sz w:val="24"/>
              </w:rPr>
              <w:t>-</w:t>
            </w:r>
            <w:r>
              <w:rPr>
                <w:rFonts w:hint="eastAsia"/>
                <w:b/>
                <w:sz w:val="24"/>
                <w:lang w:val="en-US" w:eastAsia="zh-CN"/>
              </w:rPr>
              <w:t>7</w:t>
            </w:r>
            <w:r>
              <w:rPr>
                <w:rFonts w:hint="eastAsia"/>
                <w:b/>
                <w:sz w:val="24"/>
              </w:rPr>
              <w:t xml:space="preserve"> </w:t>
            </w:r>
            <w:r>
              <w:rPr>
                <w:b/>
                <w:sz w:val="24"/>
              </w:rPr>
              <w:t xml:space="preserve"> 噪声日常监测计划要求</w:t>
            </w:r>
          </w:p>
          <w:tbl>
            <w:tblPr>
              <w:tblStyle w:val="23"/>
              <w:tblW w:w="4998"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726"/>
              <w:gridCol w:w="726"/>
              <w:gridCol w:w="773"/>
              <w:gridCol w:w="850"/>
              <w:gridCol w:w="974"/>
              <w:gridCol w:w="1299"/>
              <w:gridCol w:w="302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434" w:type="pct"/>
                  <w:noWrap w:val="0"/>
                  <w:vAlign w:val="center"/>
                </w:tcPr>
                <w:p>
                  <w:pPr>
                    <w:adjustRightInd w:val="0"/>
                    <w:snapToGrid w:val="0"/>
                    <w:jc w:val="center"/>
                    <w:rPr>
                      <w:b/>
                      <w:szCs w:val="21"/>
                    </w:rPr>
                  </w:pPr>
                  <w:r>
                    <w:rPr>
                      <w:b/>
                      <w:szCs w:val="21"/>
                    </w:rPr>
                    <w:t>类型</w:t>
                  </w:r>
                </w:p>
              </w:tc>
              <w:tc>
                <w:tcPr>
                  <w:tcW w:w="433" w:type="pct"/>
                  <w:noWrap w:val="0"/>
                  <w:vAlign w:val="center"/>
                </w:tcPr>
                <w:p>
                  <w:pPr>
                    <w:adjustRightInd w:val="0"/>
                    <w:snapToGrid w:val="0"/>
                    <w:jc w:val="center"/>
                    <w:rPr>
                      <w:b/>
                      <w:szCs w:val="21"/>
                    </w:rPr>
                  </w:pPr>
                  <w:r>
                    <w:rPr>
                      <w:b/>
                      <w:szCs w:val="21"/>
                    </w:rPr>
                    <w:t>监测时间</w:t>
                  </w:r>
                </w:p>
              </w:tc>
              <w:tc>
                <w:tcPr>
                  <w:tcW w:w="461" w:type="pct"/>
                  <w:noWrap w:val="0"/>
                  <w:vAlign w:val="center"/>
                </w:tcPr>
                <w:p>
                  <w:pPr>
                    <w:adjustRightInd w:val="0"/>
                    <w:snapToGrid w:val="0"/>
                    <w:jc w:val="center"/>
                    <w:rPr>
                      <w:b/>
                      <w:szCs w:val="21"/>
                    </w:rPr>
                  </w:pPr>
                  <w:r>
                    <w:rPr>
                      <w:b/>
                      <w:szCs w:val="21"/>
                    </w:rPr>
                    <w:t>类别</w:t>
                  </w:r>
                </w:p>
              </w:tc>
              <w:tc>
                <w:tcPr>
                  <w:tcW w:w="507" w:type="pct"/>
                  <w:noWrap w:val="0"/>
                  <w:vAlign w:val="center"/>
                </w:tcPr>
                <w:p>
                  <w:pPr>
                    <w:adjustRightInd w:val="0"/>
                    <w:snapToGrid w:val="0"/>
                    <w:jc w:val="center"/>
                    <w:rPr>
                      <w:b/>
                      <w:szCs w:val="21"/>
                    </w:rPr>
                  </w:pPr>
                  <w:r>
                    <w:rPr>
                      <w:b/>
                      <w:szCs w:val="21"/>
                    </w:rPr>
                    <w:t>监测点位</w:t>
                  </w:r>
                </w:p>
              </w:tc>
              <w:tc>
                <w:tcPr>
                  <w:tcW w:w="581" w:type="pct"/>
                  <w:noWrap w:val="0"/>
                  <w:vAlign w:val="center"/>
                </w:tcPr>
                <w:p>
                  <w:pPr>
                    <w:adjustRightInd w:val="0"/>
                    <w:snapToGrid w:val="0"/>
                    <w:jc w:val="center"/>
                    <w:rPr>
                      <w:b/>
                      <w:szCs w:val="21"/>
                    </w:rPr>
                  </w:pPr>
                  <w:r>
                    <w:rPr>
                      <w:b/>
                      <w:szCs w:val="21"/>
                    </w:rPr>
                    <w:t>监测因子</w:t>
                  </w:r>
                </w:p>
              </w:tc>
              <w:tc>
                <w:tcPr>
                  <w:tcW w:w="775" w:type="pct"/>
                  <w:noWrap w:val="0"/>
                  <w:vAlign w:val="center"/>
                </w:tcPr>
                <w:p>
                  <w:pPr>
                    <w:adjustRightInd w:val="0"/>
                    <w:snapToGrid w:val="0"/>
                    <w:jc w:val="center"/>
                    <w:rPr>
                      <w:b/>
                      <w:szCs w:val="21"/>
                    </w:rPr>
                  </w:pPr>
                  <w:r>
                    <w:rPr>
                      <w:b/>
                      <w:szCs w:val="21"/>
                    </w:rPr>
                    <w:t>监测频次</w:t>
                  </w:r>
                </w:p>
              </w:tc>
              <w:tc>
                <w:tcPr>
                  <w:tcW w:w="1805" w:type="pct"/>
                  <w:noWrap w:val="0"/>
                  <w:vAlign w:val="center"/>
                </w:tcPr>
                <w:p>
                  <w:pPr>
                    <w:adjustRightInd w:val="0"/>
                    <w:snapToGrid w:val="0"/>
                    <w:jc w:val="center"/>
                    <w:rPr>
                      <w:b/>
                      <w:szCs w:val="21"/>
                    </w:rPr>
                  </w:pPr>
                  <w:r>
                    <w:rPr>
                      <w:b/>
                      <w:szCs w:val="21"/>
                    </w:rPr>
                    <w:t>执行标准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434" w:type="pct"/>
                  <w:noWrap w:val="0"/>
                  <w:vAlign w:val="center"/>
                </w:tcPr>
                <w:p>
                  <w:pPr>
                    <w:adjustRightInd w:val="0"/>
                    <w:snapToGrid w:val="0"/>
                    <w:jc w:val="center"/>
                    <w:rPr>
                      <w:szCs w:val="21"/>
                    </w:rPr>
                  </w:pPr>
                  <w:r>
                    <w:rPr>
                      <w:szCs w:val="21"/>
                    </w:rPr>
                    <w:t>例行监测</w:t>
                  </w:r>
                </w:p>
              </w:tc>
              <w:tc>
                <w:tcPr>
                  <w:tcW w:w="433" w:type="pct"/>
                  <w:noWrap w:val="0"/>
                  <w:vAlign w:val="center"/>
                </w:tcPr>
                <w:p>
                  <w:pPr>
                    <w:adjustRightInd w:val="0"/>
                    <w:snapToGrid w:val="0"/>
                    <w:jc w:val="center"/>
                    <w:rPr>
                      <w:szCs w:val="21"/>
                    </w:rPr>
                  </w:pPr>
                  <w:r>
                    <w:rPr>
                      <w:szCs w:val="21"/>
                    </w:rPr>
                    <w:t>昼间</w:t>
                  </w:r>
                </w:p>
              </w:tc>
              <w:tc>
                <w:tcPr>
                  <w:tcW w:w="461" w:type="pct"/>
                  <w:noWrap w:val="0"/>
                  <w:vAlign w:val="center"/>
                </w:tcPr>
                <w:p>
                  <w:pPr>
                    <w:adjustRightInd w:val="0"/>
                    <w:snapToGrid w:val="0"/>
                    <w:jc w:val="center"/>
                    <w:rPr>
                      <w:szCs w:val="21"/>
                    </w:rPr>
                  </w:pPr>
                  <w:r>
                    <w:rPr>
                      <w:szCs w:val="21"/>
                    </w:rPr>
                    <w:t>噪声</w:t>
                  </w:r>
                </w:p>
              </w:tc>
              <w:tc>
                <w:tcPr>
                  <w:tcW w:w="507" w:type="pct"/>
                  <w:noWrap w:val="0"/>
                  <w:vAlign w:val="center"/>
                </w:tcPr>
                <w:p>
                  <w:pPr>
                    <w:adjustRightInd w:val="0"/>
                    <w:snapToGrid w:val="0"/>
                    <w:jc w:val="center"/>
                    <w:rPr>
                      <w:szCs w:val="21"/>
                    </w:rPr>
                  </w:pPr>
                  <w:r>
                    <w:rPr>
                      <w:szCs w:val="21"/>
                    </w:rPr>
                    <w:t>厂界四周</w:t>
                  </w:r>
                </w:p>
              </w:tc>
              <w:tc>
                <w:tcPr>
                  <w:tcW w:w="581" w:type="pct"/>
                  <w:noWrap w:val="0"/>
                  <w:vAlign w:val="center"/>
                </w:tcPr>
                <w:p>
                  <w:pPr>
                    <w:adjustRightInd w:val="0"/>
                    <w:snapToGrid w:val="0"/>
                    <w:jc w:val="center"/>
                    <w:rPr>
                      <w:szCs w:val="21"/>
                    </w:rPr>
                  </w:pPr>
                  <w:r>
                    <w:rPr>
                      <w:szCs w:val="21"/>
                    </w:rPr>
                    <w:t>Leq（A）</w:t>
                  </w:r>
                </w:p>
              </w:tc>
              <w:tc>
                <w:tcPr>
                  <w:tcW w:w="775" w:type="pct"/>
                  <w:noWrap w:val="0"/>
                  <w:vAlign w:val="center"/>
                </w:tcPr>
                <w:p>
                  <w:pPr>
                    <w:adjustRightInd w:val="0"/>
                    <w:snapToGrid w:val="0"/>
                    <w:jc w:val="center"/>
                    <w:rPr>
                      <w:szCs w:val="21"/>
                    </w:rPr>
                  </w:pPr>
                  <w:r>
                    <w:rPr>
                      <w:szCs w:val="21"/>
                    </w:rPr>
                    <w:t>每季度一次</w:t>
                  </w:r>
                </w:p>
              </w:tc>
              <w:tc>
                <w:tcPr>
                  <w:tcW w:w="1805" w:type="pct"/>
                  <w:noWrap w:val="0"/>
                  <w:vAlign w:val="center"/>
                </w:tcPr>
                <w:p>
                  <w:pPr>
                    <w:adjustRightInd w:val="0"/>
                    <w:snapToGrid w:val="0"/>
                    <w:jc w:val="center"/>
                    <w:rPr>
                      <w:szCs w:val="21"/>
                    </w:rPr>
                  </w:pPr>
                  <w:r>
                    <w:rPr>
                      <w:szCs w:val="21"/>
                    </w:rPr>
                    <w:t>《工业企业厂界环境噪声排放标准》</w:t>
                  </w:r>
                  <w:r>
                    <w:rPr>
                      <w:rFonts w:hint="eastAsia" w:ascii="宋体" w:hAnsi="宋体" w:cs="宋体"/>
                      <w:szCs w:val="21"/>
                    </w:rPr>
                    <w:t>(</w:t>
                  </w:r>
                  <w:r>
                    <w:rPr>
                      <w:szCs w:val="21"/>
                    </w:rPr>
                    <w:t>GB12348-2008</w:t>
                  </w:r>
                  <w:r>
                    <w:rPr>
                      <w:rFonts w:hint="eastAsia" w:ascii="宋体" w:hAnsi="宋体" w:cs="宋体"/>
                      <w:szCs w:val="21"/>
                    </w:rPr>
                    <w:t>)</w:t>
                  </w:r>
                  <w:r>
                    <w:rPr>
                      <w:rFonts w:hint="eastAsia"/>
                      <w:szCs w:val="21"/>
                    </w:rPr>
                    <w:t>2</w:t>
                  </w:r>
                  <w:r>
                    <w:rPr>
                      <w:szCs w:val="21"/>
                    </w:rPr>
                    <w:t>类</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434" w:type="pct"/>
                  <w:noWrap w:val="0"/>
                  <w:vAlign w:val="center"/>
                </w:tcPr>
                <w:p>
                  <w:pPr>
                    <w:adjustRightInd w:val="0"/>
                    <w:snapToGrid w:val="0"/>
                    <w:jc w:val="center"/>
                    <w:rPr>
                      <w:rFonts w:hint="eastAsia"/>
                      <w:szCs w:val="21"/>
                    </w:rPr>
                  </w:pPr>
                  <w:r>
                    <w:rPr>
                      <w:szCs w:val="21"/>
                    </w:rPr>
                    <w:t>验收</w:t>
                  </w:r>
                  <w:r>
                    <w:rPr>
                      <w:rFonts w:hint="eastAsia"/>
                      <w:szCs w:val="21"/>
                    </w:rPr>
                    <w:t>监测</w:t>
                  </w:r>
                </w:p>
              </w:tc>
              <w:tc>
                <w:tcPr>
                  <w:tcW w:w="433" w:type="pct"/>
                  <w:noWrap w:val="0"/>
                  <w:vAlign w:val="center"/>
                </w:tcPr>
                <w:p>
                  <w:pPr>
                    <w:adjustRightInd w:val="0"/>
                    <w:snapToGrid w:val="0"/>
                    <w:jc w:val="center"/>
                    <w:rPr>
                      <w:szCs w:val="21"/>
                    </w:rPr>
                  </w:pPr>
                  <w:r>
                    <w:rPr>
                      <w:szCs w:val="21"/>
                    </w:rPr>
                    <w:t>昼间</w:t>
                  </w:r>
                </w:p>
              </w:tc>
              <w:tc>
                <w:tcPr>
                  <w:tcW w:w="461" w:type="pct"/>
                  <w:noWrap w:val="0"/>
                  <w:vAlign w:val="center"/>
                </w:tcPr>
                <w:p>
                  <w:pPr>
                    <w:adjustRightInd w:val="0"/>
                    <w:snapToGrid w:val="0"/>
                    <w:jc w:val="center"/>
                    <w:rPr>
                      <w:szCs w:val="21"/>
                    </w:rPr>
                  </w:pPr>
                  <w:r>
                    <w:rPr>
                      <w:szCs w:val="21"/>
                    </w:rPr>
                    <w:t>噪声</w:t>
                  </w:r>
                </w:p>
              </w:tc>
              <w:tc>
                <w:tcPr>
                  <w:tcW w:w="507" w:type="pct"/>
                  <w:noWrap w:val="0"/>
                  <w:vAlign w:val="center"/>
                </w:tcPr>
                <w:p>
                  <w:pPr>
                    <w:adjustRightInd w:val="0"/>
                    <w:snapToGrid w:val="0"/>
                    <w:jc w:val="center"/>
                    <w:rPr>
                      <w:szCs w:val="21"/>
                    </w:rPr>
                  </w:pPr>
                  <w:r>
                    <w:rPr>
                      <w:szCs w:val="21"/>
                    </w:rPr>
                    <w:t>厂界四周</w:t>
                  </w:r>
                </w:p>
              </w:tc>
              <w:tc>
                <w:tcPr>
                  <w:tcW w:w="581" w:type="pct"/>
                  <w:noWrap w:val="0"/>
                  <w:vAlign w:val="center"/>
                </w:tcPr>
                <w:p>
                  <w:pPr>
                    <w:adjustRightInd w:val="0"/>
                    <w:snapToGrid w:val="0"/>
                    <w:jc w:val="center"/>
                    <w:rPr>
                      <w:szCs w:val="21"/>
                    </w:rPr>
                  </w:pPr>
                  <w:r>
                    <w:rPr>
                      <w:szCs w:val="21"/>
                    </w:rPr>
                    <w:t>Leq（A）</w:t>
                  </w:r>
                </w:p>
              </w:tc>
              <w:tc>
                <w:tcPr>
                  <w:tcW w:w="775" w:type="pct"/>
                  <w:noWrap w:val="0"/>
                  <w:vAlign w:val="center"/>
                </w:tcPr>
                <w:p>
                  <w:pPr>
                    <w:adjustRightInd w:val="0"/>
                    <w:snapToGrid w:val="0"/>
                    <w:jc w:val="center"/>
                    <w:rPr>
                      <w:szCs w:val="21"/>
                    </w:rPr>
                  </w:pPr>
                  <w:r>
                    <w:rPr>
                      <w:szCs w:val="21"/>
                    </w:rPr>
                    <w:t>连续2天，昼夜各1次</w:t>
                  </w:r>
                </w:p>
              </w:tc>
              <w:tc>
                <w:tcPr>
                  <w:tcW w:w="1805" w:type="pct"/>
                  <w:noWrap w:val="0"/>
                  <w:vAlign w:val="center"/>
                </w:tcPr>
                <w:p>
                  <w:pPr>
                    <w:adjustRightInd w:val="0"/>
                    <w:snapToGrid w:val="0"/>
                    <w:jc w:val="center"/>
                    <w:rPr>
                      <w:szCs w:val="21"/>
                    </w:rPr>
                  </w:pPr>
                  <w:r>
                    <w:rPr>
                      <w:szCs w:val="21"/>
                    </w:rPr>
                    <w:t>《工业企业厂界环境噪声排放标准》</w:t>
                  </w:r>
                  <w:r>
                    <w:rPr>
                      <w:rFonts w:hint="eastAsia" w:ascii="宋体" w:hAnsi="宋体" w:cs="宋体"/>
                      <w:szCs w:val="21"/>
                    </w:rPr>
                    <w:t>(</w:t>
                  </w:r>
                  <w:r>
                    <w:rPr>
                      <w:szCs w:val="21"/>
                    </w:rPr>
                    <w:t>GB12348-2008</w:t>
                  </w:r>
                  <w:r>
                    <w:rPr>
                      <w:rFonts w:hint="eastAsia" w:ascii="宋体" w:hAnsi="宋体" w:cs="宋体"/>
                      <w:szCs w:val="21"/>
                    </w:rPr>
                    <w:t>)</w:t>
                  </w:r>
                  <w:r>
                    <w:rPr>
                      <w:rFonts w:hint="eastAsia"/>
                      <w:szCs w:val="21"/>
                    </w:rPr>
                    <w:t>2</w:t>
                  </w:r>
                  <w:r>
                    <w:rPr>
                      <w:szCs w:val="21"/>
                    </w:rPr>
                    <w:t>类</w:t>
                  </w:r>
                </w:p>
              </w:tc>
            </w:tr>
          </w:tbl>
          <w:p>
            <w:pPr>
              <w:adjustRightInd w:val="0"/>
              <w:snapToGrid w:val="0"/>
              <w:spacing w:before="120" w:beforeLines="50" w:line="360" w:lineRule="auto"/>
              <w:rPr>
                <w:rFonts w:hint="eastAsia"/>
                <w:b/>
                <w:bCs/>
                <w:sz w:val="24"/>
              </w:rPr>
            </w:pPr>
            <w:r>
              <w:rPr>
                <w:rFonts w:hint="eastAsia"/>
                <w:b/>
                <w:bCs/>
                <w:sz w:val="24"/>
              </w:rPr>
              <w:t>4、固体废物环境影响分析</w:t>
            </w:r>
          </w:p>
          <w:p>
            <w:pPr>
              <w:pStyle w:val="40"/>
              <w:spacing w:line="360" w:lineRule="auto"/>
              <w:ind w:firstLine="482"/>
              <w:rPr>
                <w:rFonts w:eastAsia="宋体"/>
                <w:b/>
                <w:bCs/>
              </w:rPr>
            </w:pPr>
            <w:r>
              <w:rPr>
                <w:rFonts w:hint="eastAsia" w:eastAsia="宋体"/>
                <w:b/>
                <w:bCs/>
              </w:rPr>
              <w:t>（1）</w:t>
            </w:r>
            <w:r>
              <w:rPr>
                <w:rFonts w:eastAsia="宋体"/>
                <w:b/>
                <w:bCs/>
              </w:rPr>
              <w:t>固废产生源强</w:t>
            </w:r>
          </w:p>
          <w:p>
            <w:pPr>
              <w:pStyle w:val="42"/>
              <w:snapToGrid w:val="0"/>
              <w:spacing w:after="0" w:line="360" w:lineRule="auto"/>
              <w:ind w:firstLine="480" w:firstLineChars="200"/>
              <w:jc w:val="both"/>
            </w:pPr>
            <w:r>
              <w:rPr>
                <w:rFonts w:hint="eastAsia" w:ascii="Times New Roman" w:cs="Times New Roman"/>
                <w:color w:val="auto"/>
              </w:rPr>
              <w:t>本项目新增固废主要为生活垃圾、一般工业固废</w:t>
            </w:r>
            <w:r>
              <w:rPr>
                <w:rFonts w:hint="eastAsia" w:ascii="Times New Roman" w:cs="Times New Roman"/>
                <w:color w:val="auto"/>
                <w:lang w:eastAsia="zh-CN"/>
              </w:rPr>
              <w:t>、</w:t>
            </w:r>
            <w:r>
              <w:rPr>
                <w:rFonts w:hint="eastAsia" w:ascii="Times New Roman" w:cs="Times New Roman"/>
                <w:color w:val="auto"/>
              </w:rPr>
              <w:t>危险废物。</w:t>
            </w:r>
          </w:p>
          <w:p>
            <w:pPr>
              <w:adjustRightInd w:val="0"/>
              <w:snapToGrid w:val="0"/>
              <w:spacing w:line="360" w:lineRule="auto"/>
              <w:ind w:firstLine="480" w:firstLineChars="200"/>
              <w:rPr>
                <w:bCs/>
                <w:sz w:val="24"/>
              </w:rPr>
            </w:pPr>
            <w:r>
              <w:rPr>
                <w:rFonts w:hint="eastAsia"/>
                <w:bCs/>
                <w:sz w:val="24"/>
              </w:rPr>
              <w:t>①生活垃圾</w:t>
            </w:r>
          </w:p>
          <w:p>
            <w:pPr>
              <w:adjustRightInd w:val="0"/>
              <w:snapToGrid w:val="0"/>
              <w:spacing w:line="360" w:lineRule="auto"/>
              <w:ind w:firstLine="480" w:firstLineChars="200"/>
              <w:rPr>
                <w:bCs/>
                <w:sz w:val="24"/>
              </w:rPr>
            </w:pPr>
            <w:r>
              <w:rPr>
                <w:bCs/>
                <w:sz w:val="24"/>
              </w:rPr>
              <w:t>本项目劳动定员</w:t>
            </w:r>
            <w:r>
              <w:rPr>
                <w:rFonts w:hint="eastAsia"/>
                <w:bCs/>
                <w:sz w:val="24"/>
                <w:lang w:val="en-US" w:eastAsia="zh-CN"/>
              </w:rPr>
              <w:t>25</w:t>
            </w:r>
            <w:r>
              <w:rPr>
                <w:bCs/>
                <w:sz w:val="24"/>
              </w:rPr>
              <w:t>人，人均产生生活垃圾以0.5kg/d计，本项目生活垃圾产生量为</w:t>
            </w:r>
            <w:r>
              <w:rPr>
                <w:rFonts w:hint="eastAsia"/>
                <w:bCs/>
                <w:sz w:val="24"/>
              </w:rPr>
              <w:t>3</w:t>
            </w:r>
            <w:r>
              <w:rPr>
                <w:rFonts w:hint="eastAsia"/>
                <w:bCs/>
                <w:sz w:val="24"/>
                <w:lang w:val="en-US" w:eastAsia="zh-CN"/>
              </w:rPr>
              <w:t>.75</w:t>
            </w:r>
            <w:r>
              <w:rPr>
                <w:bCs/>
                <w:sz w:val="24"/>
              </w:rPr>
              <w:t>t/a，委托环卫部门定期清运处理。</w:t>
            </w:r>
          </w:p>
          <w:p>
            <w:pPr>
              <w:adjustRightInd w:val="0"/>
              <w:snapToGrid w:val="0"/>
              <w:spacing w:line="360" w:lineRule="auto"/>
              <w:ind w:firstLine="480" w:firstLineChars="200"/>
              <w:rPr>
                <w:rFonts w:hint="eastAsia"/>
                <w:bCs/>
                <w:sz w:val="24"/>
              </w:rPr>
            </w:pPr>
            <w:r>
              <w:rPr>
                <w:rFonts w:hint="eastAsia"/>
                <w:bCs/>
                <w:sz w:val="24"/>
              </w:rPr>
              <w:t>②一般工业固废</w:t>
            </w:r>
          </w:p>
          <w:p>
            <w:pPr>
              <w:numPr>
                <w:ilvl w:val="0"/>
                <w:numId w:val="6"/>
              </w:numPr>
              <w:adjustRightInd w:val="0"/>
              <w:snapToGrid w:val="0"/>
              <w:spacing w:line="360" w:lineRule="auto"/>
              <w:ind w:firstLine="480" w:firstLineChars="200"/>
              <w:rPr>
                <w:rFonts w:hint="eastAsia"/>
                <w:bCs/>
                <w:sz w:val="24"/>
                <w:lang w:val="en-US" w:eastAsia="zh-CN"/>
              </w:rPr>
            </w:pPr>
            <w:r>
              <w:rPr>
                <w:rFonts w:hint="eastAsia"/>
                <w:bCs/>
                <w:sz w:val="24"/>
                <w:lang w:val="en-US" w:eastAsia="zh-CN"/>
              </w:rPr>
              <w:t>废料：项目定长裁剪产生少量废料，约占原料的5%，</w:t>
            </w:r>
            <w:r>
              <w:rPr>
                <w:rFonts w:hint="eastAsia" w:ascii="Times New Roman" w:hAnsi="Times New Roman" w:eastAsia="宋体" w:cs="Times New Roman"/>
                <w:bCs/>
                <w:sz w:val="24"/>
                <w:lang w:val="en-US" w:eastAsia="zh-CN"/>
              </w:rPr>
              <w:t>根据企业提供资料，</w:t>
            </w:r>
            <w:r>
              <w:rPr>
                <w:rFonts w:hint="eastAsia"/>
                <w:bCs/>
                <w:sz w:val="24"/>
                <w:lang w:val="en-US" w:eastAsia="zh-CN"/>
              </w:rPr>
              <w:t>产生量约</w:t>
            </w:r>
            <w:r>
              <w:rPr>
                <w:rFonts w:hint="eastAsia" w:ascii="Times New Roman" w:hAnsi="Times New Roman" w:eastAsia="宋体" w:cs="Times New Roman"/>
                <w:bCs/>
                <w:sz w:val="24"/>
              </w:rPr>
              <w:t>0.</w:t>
            </w:r>
            <w:r>
              <w:rPr>
                <w:rFonts w:hint="eastAsia" w:ascii="Times New Roman" w:hAnsi="Times New Roman" w:eastAsia="宋体" w:cs="Times New Roman"/>
                <w:bCs/>
                <w:sz w:val="24"/>
                <w:lang w:val="en-US" w:eastAsia="zh-CN"/>
              </w:rPr>
              <w:t>03</w:t>
            </w:r>
            <w:r>
              <w:rPr>
                <w:rFonts w:hint="eastAsia" w:ascii="Times New Roman" w:hAnsi="Times New Roman" w:eastAsia="宋体" w:cs="Times New Roman"/>
                <w:bCs/>
                <w:sz w:val="24"/>
              </w:rPr>
              <w:t>t/a</w:t>
            </w:r>
            <w:r>
              <w:rPr>
                <w:rFonts w:hint="eastAsia" w:ascii="Times New Roman" w:hAnsi="Times New Roman" w:eastAsia="宋体" w:cs="Times New Roman"/>
                <w:bCs/>
                <w:sz w:val="24"/>
                <w:lang w:eastAsia="zh-CN"/>
              </w:rPr>
              <w:t>，</w:t>
            </w:r>
            <w:r>
              <w:rPr>
                <w:rFonts w:hint="eastAsia"/>
                <w:bCs/>
                <w:sz w:val="24"/>
              </w:rPr>
              <w:t>统一收集后委托固废处置单位处置</w:t>
            </w:r>
            <w:r>
              <w:rPr>
                <w:rFonts w:hint="eastAsia"/>
                <w:bCs/>
                <w:sz w:val="24"/>
                <w:lang w:eastAsia="zh-CN"/>
              </w:rPr>
              <w:t>。</w:t>
            </w:r>
          </w:p>
          <w:p>
            <w:pPr>
              <w:numPr>
                <w:ilvl w:val="0"/>
                <w:numId w:val="6"/>
              </w:numPr>
              <w:adjustRightInd w:val="0"/>
              <w:snapToGrid w:val="0"/>
              <w:spacing w:line="360" w:lineRule="auto"/>
              <w:ind w:firstLine="480" w:firstLineChars="200"/>
              <w:rPr>
                <w:bCs/>
                <w:sz w:val="24"/>
              </w:rPr>
            </w:pPr>
            <w:r>
              <w:rPr>
                <w:rFonts w:hint="eastAsia"/>
                <w:bCs/>
                <w:sz w:val="24"/>
                <w:lang w:val="en-US" w:eastAsia="zh-CN"/>
              </w:rPr>
              <w:t>不合格品：</w:t>
            </w:r>
            <w:r>
              <w:rPr>
                <w:rFonts w:hint="eastAsia" w:ascii="Times New Roman" w:hAnsi="Times New Roman" w:eastAsia="宋体" w:cs="Times New Roman"/>
                <w:b w:val="0"/>
                <w:bCs w:val="0"/>
                <w:sz w:val="24"/>
                <w:lang w:val="en-US" w:eastAsia="zh-CN"/>
              </w:rPr>
              <w:t>检验不合格的工件可用的部件进行重复利用，其他部分作为固废，</w:t>
            </w:r>
            <w:r>
              <w:rPr>
                <w:rFonts w:hint="eastAsia" w:ascii="Times New Roman" w:hAnsi="Times New Roman" w:eastAsia="宋体" w:cs="Times New Roman"/>
                <w:bCs/>
                <w:sz w:val="24"/>
              </w:rPr>
              <w:t>产生量约0.</w:t>
            </w:r>
            <w:r>
              <w:rPr>
                <w:rFonts w:hint="eastAsia" w:ascii="Times New Roman" w:hAnsi="Times New Roman" w:eastAsia="宋体" w:cs="Times New Roman"/>
                <w:bCs/>
                <w:sz w:val="24"/>
                <w:lang w:val="en-US" w:eastAsia="zh-CN"/>
              </w:rPr>
              <w:t>02</w:t>
            </w:r>
            <w:r>
              <w:rPr>
                <w:rFonts w:hint="eastAsia" w:ascii="Times New Roman" w:hAnsi="Times New Roman" w:eastAsia="宋体" w:cs="Times New Roman"/>
                <w:bCs/>
                <w:sz w:val="24"/>
              </w:rPr>
              <w:t>t/a</w:t>
            </w:r>
            <w:r>
              <w:rPr>
                <w:rFonts w:hint="eastAsia" w:ascii="Times New Roman" w:hAnsi="Times New Roman" w:eastAsia="宋体" w:cs="Times New Roman"/>
                <w:bCs/>
                <w:sz w:val="24"/>
                <w:lang w:eastAsia="zh-CN"/>
              </w:rPr>
              <w:t>，</w:t>
            </w:r>
            <w:r>
              <w:rPr>
                <w:rFonts w:hint="eastAsia"/>
                <w:bCs/>
                <w:sz w:val="24"/>
              </w:rPr>
              <w:t>统一收集后委托固废处置单位处置</w:t>
            </w:r>
            <w:r>
              <w:rPr>
                <w:rFonts w:hint="eastAsia" w:ascii="Times New Roman" w:hAnsi="Times New Roman" w:eastAsia="宋体" w:cs="Times New Roman"/>
                <w:bCs/>
                <w:sz w:val="24"/>
                <w:lang w:eastAsia="zh-CN"/>
              </w:rPr>
              <w:t>。</w:t>
            </w:r>
          </w:p>
          <w:p>
            <w:pPr>
              <w:numPr>
                <w:ilvl w:val="0"/>
                <w:numId w:val="6"/>
              </w:numPr>
              <w:adjustRightInd w:val="0"/>
              <w:snapToGrid w:val="0"/>
              <w:spacing w:line="360" w:lineRule="auto"/>
              <w:ind w:firstLine="480" w:firstLineChars="200"/>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废包装材料：项目原辅材料包装将产生废包装材料，产生量约0.02t/a，统一收集后外售物资公司综合利用。</w:t>
            </w:r>
          </w:p>
          <w:p>
            <w:pPr>
              <w:numPr>
                <w:ilvl w:val="0"/>
                <w:numId w:val="0"/>
              </w:numPr>
              <w:adjustRightInd w:val="0"/>
              <w:snapToGrid w:val="0"/>
              <w:spacing w:line="360" w:lineRule="auto"/>
              <w:ind w:firstLine="480" w:firstLineChars="200"/>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③危险废物</w:t>
            </w:r>
          </w:p>
          <w:p>
            <w:pPr>
              <w:numPr>
                <w:ilvl w:val="0"/>
                <w:numId w:val="0"/>
              </w:numPr>
              <w:adjustRightInd w:val="0"/>
              <w:snapToGrid w:val="0"/>
              <w:spacing w:line="360" w:lineRule="auto"/>
              <w:ind w:firstLine="480" w:firstLineChars="200"/>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废擦拭布：本项目使用无尘布取少量硅油辅助穿PE管，根据企业提供资料，产生废擦拭布约为0.01t/a。</w:t>
            </w:r>
          </w:p>
          <w:p>
            <w:pPr>
              <w:pStyle w:val="22"/>
              <w:adjustRightInd w:val="0"/>
              <w:snapToGrid w:val="0"/>
              <w:spacing w:line="360" w:lineRule="auto"/>
              <w:ind w:firstLine="480" w:firstLineChars="200"/>
              <w:rPr>
                <w:rFonts w:hint="default"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废液：本</w:t>
            </w:r>
            <w:r>
              <w:rPr>
                <w:rFonts w:hint="eastAsia" w:ascii="Times New Roman" w:hAnsi="Times New Roman" w:eastAsia="宋体"/>
                <w:bCs/>
                <w:highlight w:val="none"/>
              </w:rPr>
              <w:t>项目</w:t>
            </w:r>
            <w:r>
              <w:rPr>
                <w:rFonts w:hint="eastAsia" w:ascii="Times New Roman" w:hAnsi="Times New Roman" w:eastAsia="宋体"/>
                <w:bCs/>
                <w:highlight w:val="none"/>
                <w:lang w:val="en-US" w:eastAsia="zh-CN"/>
              </w:rPr>
              <w:t>在抛光工序中采用磁力研磨机在水箱中抛光，产生量约为0.06t/a，废液用捅装收集约</w:t>
            </w:r>
            <w:r>
              <w:rPr>
                <w:rFonts w:hint="eastAsia" w:ascii="Times New Roman" w:hAnsi="Times New Roman" w:eastAsia="宋体" w:cs="Times New Roman"/>
                <w:sz w:val="24"/>
                <w:highlight w:val="none"/>
                <w:lang w:val="en-US" w:eastAsia="zh-CN"/>
              </w:rPr>
              <w:t>折损10%</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因此</w:t>
            </w:r>
            <w:r>
              <w:rPr>
                <w:rFonts w:hint="eastAsia" w:ascii="Times New Roman" w:hAnsi="Times New Roman" w:eastAsia="宋体"/>
                <w:bCs/>
                <w:highlight w:val="none"/>
                <w:lang w:val="en-US" w:eastAsia="zh-CN"/>
              </w:rPr>
              <w:t>研磨水箱更换废液约为0.054t/a。</w:t>
            </w:r>
          </w:p>
          <w:p>
            <w:pPr>
              <w:numPr>
                <w:ilvl w:val="0"/>
                <w:numId w:val="0"/>
              </w:numPr>
              <w:adjustRightInd w:val="0"/>
              <w:snapToGrid w:val="0"/>
              <w:spacing w:line="360" w:lineRule="auto"/>
              <w:ind w:firstLine="480" w:firstLineChars="200"/>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纯水制备废石英砂、纯水制备废活性炭、纯水制备废RO膜：原厂家回收进行反冲洗。</w:t>
            </w:r>
          </w:p>
          <w:p>
            <w:pPr>
              <w:pStyle w:val="10"/>
              <w:spacing w:line="360" w:lineRule="auto"/>
              <w:ind w:left="0" w:leftChars="0" w:right="0" w:rightChars="0" w:firstLine="482"/>
              <w:jc w:val="left"/>
              <w:rPr>
                <w:b/>
                <w:bCs/>
                <w:color w:val="auto"/>
                <w:sz w:val="24"/>
              </w:rPr>
            </w:pPr>
            <w:r>
              <w:rPr>
                <w:rFonts w:hint="eastAsia"/>
                <w:b/>
                <w:bCs/>
                <w:color w:val="auto"/>
                <w:sz w:val="24"/>
              </w:rPr>
              <w:t>①</w:t>
            </w:r>
            <w:r>
              <w:rPr>
                <w:b/>
                <w:bCs/>
                <w:color w:val="auto"/>
                <w:sz w:val="24"/>
              </w:rPr>
              <w:t>固体废物属性判定</w:t>
            </w:r>
          </w:p>
          <w:p>
            <w:pPr>
              <w:pStyle w:val="10"/>
              <w:spacing w:line="360" w:lineRule="auto"/>
              <w:ind w:left="0" w:leftChars="0" w:right="0" w:rightChars="0" w:firstLine="480"/>
              <w:jc w:val="left"/>
              <w:rPr>
                <w:color w:val="auto"/>
                <w:sz w:val="24"/>
              </w:rPr>
            </w:pPr>
            <w:r>
              <w:rPr>
                <w:color w:val="auto"/>
                <w:sz w:val="24"/>
              </w:rPr>
              <w:t>根据《固体废物鉴别标准 通则》（GB34330-2017）的规定，判定结果详见表4-</w:t>
            </w:r>
            <w:r>
              <w:rPr>
                <w:rFonts w:hint="eastAsia"/>
                <w:color w:val="auto"/>
                <w:sz w:val="24"/>
                <w:lang w:val="en-US" w:eastAsia="zh-CN"/>
              </w:rPr>
              <w:t>8</w:t>
            </w:r>
            <w:r>
              <w:rPr>
                <w:color w:val="auto"/>
                <w:sz w:val="24"/>
              </w:rPr>
              <w:t>。</w:t>
            </w:r>
          </w:p>
          <w:p>
            <w:pPr>
              <w:pStyle w:val="46"/>
              <w:spacing w:beforeLines="0" w:afterLines="0"/>
              <w:rPr>
                <w:rFonts w:eastAsia="宋体"/>
                <w:snapToGrid w:val="0"/>
              </w:rPr>
            </w:pPr>
            <w:r>
              <w:rPr>
                <w:rFonts w:eastAsia="宋体"/>
                <w:snapToGrid w:val="0"/>
              </w:rPr>
              <w:t>表4-</w:t>
            </w:r>
            <w:r>
              <w:rPr>
                <w:rFonts w:hint="eastAsia" w:eastAsia="宋体"/>
                <w:snapToGrid w:val="0"/>
                <w:lang w:val="en-US" w:eastAsia="zh-CN"/>
              </w:rPr>
              <w:t>8</w:t>
            </w:r>
            <w:r>
              <w:rPr>
                <w:rFonts w:eastAsia="宋体"/>
                <w:snapToGrid w:val="0"/>
              </w:rPr>
              <w:t xml:space="preserve">  项目固体废物产生情况及属性判断结果一览表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28" w:type="dxa"/>
                <w:left w:w="28" w:type="dxa"/>
                <w:bottom w:w="0" w:type="dxa"/>
                <w:right w:w="28" w:type="dxa"/>
              </w:tblCellMar>
            </w:tblPr>
            <w:tblGrid>
              <w:gridCol w:w="550"/>
              <w:gridCol w:w="1291"/>
              <w:gridCol w:w="1019"/>
              <w:gridCol w:w="630"/>
              <w:gridCol w:w="1140"/>
              <w:gridCol w:w="793"/>
              <w:gridCol w:w="583"/>
              <w:gridCol w:w="578"/>
              <w:gridCol w:w="179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28" w:type="dxa"/>
                  <w:bottom w:w="0" w:type="dxa"/>
                  <w:right w:w="28" w:type="dxa"/>
                </w:tblCellMar>
              </w:tblPrEx>
              <w:trPr>
                <w:trHeight w:val="340" w:hRule="atLeast"/>
              </w:trPr>
              <w:tc>
                <w:tcPr>
                  <w:tcW w:w="328" w:type="pct"/>
                  <w:vMerge w:val="restart"/>
                  <w:noWrap w:val="0"/>
                  <w:vAlign w:val="center"/>
                </w:tcPr>
                <w:p>
                  <w:pPr>
                    <w:pStyle w:val="50"/>
                    <w:adjustRightInd w:val="0"/>
                    <w:snapToGrid w:val="0"/>
                    <w:rPr>
                      <w:rFonts w:eastAsia="宋体"/>
                    </w:rPr>
                  </w:pPr>
                  <w:r>
                    <w:rPr>
                      <w:rFonts w:eastAsia="宋体"/>
                    </w:rPr>
                    <w:t>序号</w:t>
                  </w:r>
                </w:p>
              </w:tc>
              <w:tc>
                <w:tcPr>
                  <w:tcW w:w="770" w:type="pct"/>
                  <w:vMerge w:val="restart"/>
                  <w:noWrap w:val="0"/>
                  <w:vAlign w:val="center"/>
                </w:tcPr>
                <w:p>
                  <w:pPr>
                    <w:pStyle w:val="50"/>
                    <w:adjustRightInd w:val="0"/>
                    <w:snapToGrid w:val="0"/>
                    <w:rPr>
                      <w:rFonts w:eastAsia="宋体"/>
                    </w:rPr>
                  </w:pPr>
                  <w:r>
                    <w:rPr>
                      <w:rFonts w:eastAsia="宋体"/>
                    </w:rPr>
                    <w:t>固体废物名称</w:t>
                  </w:r>
                </w:p>
              </w:tc>
              <w:tc>
                <w:tcPr>
                  <w:tcW w:w="608" w:type="pct"/>
                  <w:vMerge w:val="restart"/>
                  <w:noWrap w:val="0"/>
                  <w:vAlign w:val="center"/>
                </w:tcPr>
                <w:p>
                  <w:pPr>
                    <w:pStyle w:val="50"/>
                    <w:adjustRightInd w:val="0"/>
                    <w:snapToGrid w:val="0"/>
                    <w:rPr>
                      <w:rFonts w:eastAsia="宋体"/>
                    </w:rPr>
                  </w:pPr>
                  <w:r>
                    <w:rPr>
                      <w:rFonts w:eastAsia="宋体"/>
                    </w:rPr>
                    <w:t>产生工序</w:t>
                  </w:r>
                </w:p>
              </w:tc>
              <w:tc>
                <w:tcPr>
                  <w:tcW w:w="376" w:type="pct"/>
                  <w:vMerge w:val="restart"/>
                  <w:noWrap w:val="0"/>
                  <w:vAlign w:val="center"/>
                </w:tcPr>
                <w:p>
                  <w:pPr>
                    <w:pStyle w:val="50"/>
                    <w:adjustRightInd w:val="0"/>
                    <w:snapToGrid w:val="0"/>
                    <w:rPr>
                      <w:rFonts w:eastAsia="宋体"/>
                    </w:rPr>
                  </w:pPr>
                  <w:r>
                    <w:rPr>
                      <w:rFonts w:eastAsia="宋体"/>
                    </w:rPr>
                    <w:t>形态</w:t>
                  </w:r>
                </w:p>
              </w:tc>
              <w:tc>
                <w:tcPr>
                  <w:tcW w:w="680" w:type="pct"/>
                  <w:vMerge w:val="restart"/>
                  <w:noWrap w:val="0"/>
                  <w:vAlign w:val="center"/>
                </w:tcPr>
                <w:p>
                  <w:pPr>
                    <w:pStyle w:val="50"/>
                    <w:adjustRightInd w:val="0"/>
                    <w:snapToGrid w:val="0"/>
                    <w:rPr>
                      <w:rFonts w:eastAsia="宋体"/>
                    </w:rPr>
                  </w:pPr>
                  <w:r>
                    <w:rPr>
                      <w:rFonts w:eastAsia="宋体"/>
                    </w:rPr>
                    <w:t>主要成分</w:t>
                  </w:r>
                </w:p>
              </w:tc>
              <w:tc>
                <w:tcPr>
                  <w:tcW w:w="473" w:type="pct"/>
                  <w:vMerge w:val="restart"/>
                  <w:noWrap w:val="0"/>
                  <w:vAlign w:val="center"/>
                </w:tcPr>
                <w:p>
                  <w:pPr>
                    <w:pStyle w:val="50"/>
                    <w:adjustRightInd w:val="0"/>
                    <w:snapToGrid w:val="0"/>
                    <w:rPr>
                      <w:rFonts w:eastAsia="宋体"/>
                    </w:rPr>
                  </w:pPr>
                  <w:r>
                    <w:rPr>
                      <w:rFonts w:eastAsia="宋体"/>
                    </w:rPr>
                    <w:t>预测产生量t/a</w:t>
                  </w:r>
                </w:p>
              </w:tc>
              <w:tc>
                <w:tcPr>
                  <w:tcW w:w="1762" w:type="pct"/>
                  <w:gridSpan w:val="3"/>
                  <w:noWrap w:val="0"/>
                  <w:vAlign w:val="center"/>
                </w:tcPr>
                <w:p>
                  <w:pPr>
                    <w:pStyle w:val="50"/>
                    <w:adjustRightInd w:val="0"/>
                    <w:snapToGrid w:val="0"/>
                    <w:rPr>
                      <w:rFonts w:eastAsia="宋体"/>
                    </w:rPr>
                  </w:pPr>
                  <w:r>
                    <w:rPr>
                      <w:rFonts w:eastAsia="宋体"/>
                    </w:rPr>
                    <w:t>种类判断</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28" w:type="dxa"/>
                  <w:bottom w:w="0" w:type="dxa"/>
                  <w:right w:w="28" w:type="dxa"/>
                </w:tblCellMar>
              </w:tblPrEx>
              <w:trPr>
                <w:trHeight w:val="340" w:hRule="atLeast"/>
              </w:trPr>
              <w:tc>
                <w:tcPr>
                  <w:tcW w:w="328" w:type="pct"/>
                  <w:vMerge w:val="continue"/>
                  <w:noWrap w:val="0"/>
                  <w:vAlign w:val="center"/>
                </w:tcPr>
                <w:p>
                  <w:pPr>
                    <w:pStyle w:val="50"/>
                    <w:adjustRightInd w:val="0"/>
                    <w:snapToGrid w:val="0"/>
                    <w:rPr>
                      <w:rFonts w:eastAsia="宋体"/>
                    </w:rPr>
                  </w:pPr>
                </w:p>
              </w:tc>
              <w:tc>
                <w:tcPr>
                  <w:tcW w:w="770" w:type="pct"/>
                  <w:vMerge w:val="continue"/>
                  <w:noWrap w:val="0"/>
                  <w:vAlign w:val="center"/>
                </w:tcPr>
                <w:p>
                  <w:pPr>
                    <w:pStyle w:val="50"/>
                    <w:adjustRightInd w:val="0"/>
                    <w:snapToGrid w:val="0"/>
                    <w:rPr>
                      <w:rFonts w:eastAsia="宋体"/>
                    </w:rPr>
                  </w:pPr>
                </w:p>
              </w:tc>
              <w:tc>
                <w:tcPr>
                  <w:tcW w:w="608" w:type="pct"/>
                  <w:vMerge w:val="continue"/>
                  <w:noWrap w:val="0"/>
                  <w:vAlign w:val="center"/>
                </w:tcPr>
                <w:p>
                  <w:pPr>
                    <w:pStyle w:val="50"/>
                    <w:adjustRightInd w:val="0"/>
                    <w:snapToGrid w:val="0"/>
                    <w:rPr>
                      <w:rFonts w:eastAsia="宋体"/>
                    </w:rPr>
                  </w:pPr>
                </w:p>
              </w:tc>
              <w:tc>
                <w:tcPr>
                  <w:tcW w:w="376" w:type="pct"/>
                  <w:vMerge w:val="continue"/>
                  <w:noWrap w:val="0"/>
                  <w:vAlign w:val="center"/>
                </w:tcPr>
                <w:p>
                  <w:pPr>
                    <w:pStyle w:val="50"/>
                    <w:adjustRightInd w:val="0"/>
                    <w:snapToGrid w:val="0"/>
                    <w:rPr>
                      <w:rFonts w:eastAsia="宋体"/>
                    </w:rPr>
                  </w:pPr>
                </w:p>
              </w:tc>
              <w:tc>
                <w:tcPr>
                  <w:tcW w:w="680" w:type="pct"/>
                  <w:vMerge w:val="continue"/>
                  <w:noWrap w:val="0"/>
                  <w:vAlign w:val="center"/>
                </w:tcPr>
                <w:p>
                  <w:pPr>
                    <w:pStyle w:val="50"/>
                    <w:adjustRightInd w:val="0"/>
                    <w:snapToGrid w:val="0"/>
                    <w:rPr>
                      <w:rFonts w:eastAsia="宋体"/>
                    </w:rPr>
                  </w:pPr>
                </w:p>
              </w:tc>
              <w:tc>
                <w:tcPr>
                  <w:tcW w:w="473" w:type="pct"/>
                  <w:vMerge w:val="continue"/>
                  <w:noWrap w:val="0"/>
                  <w:vAlign w:val="center"/>
                </w:tcPr>
                <w:p>
                  <w:pPr>
                    <w:pStyle w:val="50"/>
                    <w:adjustRightInd w:val="0"/>
                    <w:snapToGrid w:val="0"/>
                    <w:rPr>
                      <w:rFonts w:eastAsia="宋体"/>
                    </w:rPr>
                  </w:pPr>
                </w:p>
              </w:tc>
              <w:tc>
                <w:tcPr>
                  <w:tcW w:w="348" w:type="pct"/>
                  <w:noWrap w:val="0"/>
                  <w:vAlign w:val="center"/>
                </w:tcPr>
                <w:p>
                  <w:pPr>
                    <w:pStyle w:val="50"/>
                    <w:adjustRightInd w:val="0"/>
                    <w:snapToGrid w:val="0"/>
                    <w:rPr>
                      <w:rFonts w:eastAsia="宋体"/>
                    </w:rPr>
                  </w:pPr>
                  <w:r>
                    <w:rPr>
                      <w:rFonts w:eastAsia="宋体"/>
                    </w:rPr>
                    <w:t>固体废物</w:t>
                  </w:r>
                </w:p>
              </w:tc>
              <w:tc>
                <w:tcPr>
                  <w:tcW w:w="345" w:type="pct"/>
                  <w:noWrap w:val="0"/>
                  <w:vAlign w:val="center"/>
                </w:tcPr>
                <w:p>
                  <w:pPr>
                    <w:pStyle w:val="50"/>
                    <w:adjustRightInd w:val="0"/>
                    <w:snapToGrid w:val="0"/>
                    <w:rPr>
                      <w:rFonts w:eastAsia="宋体"/>
                    </w:rPr>
                  </w:pPr>
                  <w:r>
                    <w:rPr>
                      <w:rFonts w:eastAsia="宋体"/>
                    </w:rPr>
                    <w:t>副产品</w:t>
                  </w:r>
                </w:p>
              </w:tc>
              <w:tc>
                <w:tcPr>
                  <w:tcW w:w="1068" w:type="pct"/>
                  <w:noWrap w:val="0"/>
                  <w:vAlign w:val="center"/>
                </w:tcPr>
                <w:p>
                  <w:pPr>
                    <w:pStyle w:val="50"/>
                    <w:adjustRightInd w:val="0"/>
                    <w:snapToGrid w:val="0"/>
                    <w:rPr>
                      <w:rFonts w:eastAsia="宋体"/>
                    </w:rPr>
                  </w:pPr>
                  <w:r>
                    <w:rPr>
                      <w:rFonts w:eastAsia="宋体"/>
                    </w:rPr>
                    <w:t>判定依据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28" w:type="dxa"/>
                  <w:bottom w:w="0" w:type="dxa"/>
                  <w:right w:w="28" w:type="dxa"/>
                </w:tblCellMar>
              </w:tblPrEx>
              <w:trPr>
                <w:trHeight w:val="340" w:hRule="atLeast"/>
              </w:trPr>
              <w:tc>
                <w:tcPr>
                  <w:tcW w:w="32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77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生活垃圾</w:t>
                  </w:r>
                </w:p>
              </w:tc>
              <w:tc>
                <w:tcPr>
                  <w:tcW w:w="60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员工生活</w:t>
                  </w:r>
                </w:p>
              </w:tc>
              <w:tc>
                <w:tcPr>
                  <w:tcW w:w="376"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68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纸屑等</w:t>
                  </w:r>
                </w:p>
              </w:tc>
              <w:tc>
                <w:tcPr>
                  <w:tcW w:w="473"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3.75</w:t>
                  </w:r>
                </w:p>
              </w:tc>
              <w:tc>
                <w:tcPr>
                  <w:tcW w:w="348" w:type="pct"/>
                  <w:noWrap w:val="0"/>
                  <w:vAlign w:val="center"/>
                </w:tcPr>
                <w:p>
                  <w:pPr>
                    <w:pStyle w:val="48"/>
                    <w:adjustRightInd w:val="0"/>
                    <w:snapToGrid w:val="0"/>
                    <w:rPr>
                      <w:rFonts w:eastAsia="宋体"/>
                      <w:kern w:val="0"/>
                    </w:rPr>
                  </w:pPr>
                  <w:r>
                    <w:rPr>
                      <w:rFonts w:eastAsia="宋体"/>
                      <w:kern w:val="0"/>
                    </w:rPr>
                    <w:t>√</w:t>
                  </w:r>
                </w:p>
              </w:tc>
              <w:tc>
                <w:tcPr>
                  <w:tcW w:w="345" w:type="pct"/>
                  <w:noWrap w:val="0"/>
                  <w:vAlign w:val="center"/>
                </w:tcPr>
                <w:p>
                  <w:pPr>
                    <w:pStyle w:val="48"/>
                    <w:adjustRightInd w:val="0"/>
                    <w:snapToGrid w:val="0"/>
                    <w:rPr>
                      <w:rFonts w:eastAsia="宋体"/>
                      <w:kern w:val="0"/>
                    </w:rPr>
                  </w:pPr>
                  <w:r>
                    <w:rPr>
                      <w:rFonts w:eastAsia="宋体"/>
                      <w:kern w:val="0"/>
                    </w:rPr>
                    <w:t>/</w:t>
                  </w:r>
                </w:p>
              </w:tc>
              <w:tc>
                <w:tcPr>
                  <w:tcW w:w="1068" w:type="pct"/>
                  <w:vMerge w:val="restart"/>
                  <w:noWrap w:val="0"/>
                  <w:vAlign w:val="center"/>
                </w:tcPr>
                <w:p>
                  <w:pPr>
                    <w:pStyle w:val="48"/>
                    <w:adjustRightInd w:val="0"/>
                    <w:snapToGrid w:val="0"/>
                    <w:rPr>
                      <w:rFonts w:eastAsia="宋体"/>
                      <w:kern w:val="0"/>
                    </w:rPr>
                  </w:pPr>
                  <w:r>
                    <w:rPr>
                      <w:rFonts w:eastAsia="宋体"/>
                    </w:rPr>
                    <w:t>《固体废物鉴别标准 通则》（GB34330-2017）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28" w:type="dxa"/>
                  <w:bottom w:w="0" w:type="dxa"/>
                  <w:right w:w="28" w:type="dxa"/>
                </w:tblCellMar>
              </w:tblPrEx>
              <w:trPr>
                <w:trHeight w:val="340" w:hRule="atLeast"/>
              </w:trPr>
              <w:tc>
                <w:tcPr>
                  <w:tcW w:w="32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77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废料</w:t>
                  </w:r>
                </w:p>
              </w:tc>
              <w:tc>
                <w:tcPr>
                  <w:tcW w:w="608"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定长</w:t>
                  </w:r>
                </w:p>
              </w:tc>
              <w:tc>
                <w:tcPr>
                  <w:tcW w:w="376"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68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金属等</w:t>
                  </w:r>
                </w:p>
              </w:tc>
              <w:tc>
                <w:tcPr>
                  <w:tcW w:w="473"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0.03</w:t>
                  </w:r>
                </w:p>
              </w:tc>
              <w:tc>
                <w:tcPr>
                  <w:tcW w:w="348" w:type="pct"/>
                  <w:noWrap w:val="0"/>
                  <w:vAlign w:val="center"/>
                </w:tcPr>
                <w:p>
                  <w:pPr>
                    <w:adjustRightInd w:val="0"/>
                    <w:snapToGrid w:val="0"/>
                    <w:jc w:val="center"/>
                    <w:rPr>
                      <w:kern w:val="0"/>
                      <w:szCs w:val="21"/>
                    </w:rPr>
                  </w:pPr>
                  <w:r>
                    <w:rPr>
                      <w:kern w:val="0"/>
                      <w:szCs w:val="21"/>
                    </w:rPr>
                    <w:t>√</w:t>
                  </w:r>
                </w:p>
              </w:tc>
              <w:tc>
                <w:tcPr>
                  <w:tcW w:w="345" w:type="pct"/>
                  <w:noWrap w:val="0"/>
                  <w:vAlign w:val="center"/>
                </w:tcPr>
                <w:p>
                  <w:pPr>
                    <w:adjustRightInd w:val="0"/>
                    <w:snapToGrid w:val="0"/>
                    <w:jc w:val="center"/>
                    <w:rPr>
                      <w:kern w:val="0"/>
                      <w:szCs w:val="21"/>
                    </w:rPr>
                  </w:pPr>
                  <w:r>
                    <w:rPr>
                      <w:kern w:val="0"/>
                      <w:szCs w:val="21"/>
                    </w:rPr>
                    <w:t>/</w:t>
                  </w:r>
                </w:p>
              </w:tc>
              <w:tc>
                <w:tcPr>
                  <w:tcW w:w="1068" w:type="pct"/>
                  <w:vMerge w:val="continue"/>
                  <w:noWrap w:val="0"/>
                  <w:vAlign w:val="center"/>
                </w:tcPr>
                <w:p>
                  <w:pPr>
                    <w:pStyle w:val="48"/>
                    <w:adjustRightInd w:val="0"/>
                    <w:snapToGrid w:val="0"/>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28" w:type="dxa"/>
                  <w:bottom w:w="0" w:type="dxa"/>
                  <w:right w:w="28" w:type="dxa"/>
                </w:tblCellMar>
              </w:tblPrEx>
              <w:trPr>
                <w:trHeight w:val="340" w:hRule="atLeast"/>
              </w:trPr>
              <w:tc>
                <w:tcPr>
                  <w:tcW w:w="32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77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不合格品</w:t>
                  </w:r>
                </w:p>
              </w:tc>
              <w:tc>
                <w:tcPr>
                  <w:tcW w:w="60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检验</w:t>
                  </w:r>
                </w:p>
              </w:tc>
              <w:tc>
                <w:tcPr>
                  <w:tcW w:w="376"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680"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塑料金属等</w:t>
                  </w:r>
                </w:p>
              </w:tc>
              <w:tc>
                <w:tcPr>
                  <w:tcW w:w="473"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0.02</w:t>
                  </w:r>
                </w:p>
              </w:tc>
              <w:tc>
                <w:tcPr>
                  <w:tcW w:w="348" w:type="pct"/>
                  <w:noWrap w:val="0"/>
                  <w:vAlign w:val="center"/>
                </w:tcPr>
                <w:p>
                  <w:pPr>
                    <w:adjustRightInd w:val="0"/>
                    <w:snapToGrid w:val="0"/>
                    <w:jc w:val="center"/>
                    <w:rPr>
                      <w:kern w:val="0"/>
                      <w:szCs w:val="21"/>
                    </w:rPr>
                  </w:pPr>
                  <w:r>
                    <w:rPr>
                      <w:kern w:val="0"/>
                      <w:szCs w:val="21"/>
                    </w:rPr>
                    <w:t>√</w:t>
                  </w:r>
                </w:p>
              </w:tc>
              <w:tc>
                <w:tcPr>
                  <w:tcW w:w="345" w:type="pct"/>
                  <w:noWrap w:val="0"/>
                  <w:vAlign w:val="center"/>
                </w:tcPr>
                <w:p>
                  <w:pPr>
                    <w:adjustRightInd w:val="0"/>
                    <w:snapToGrid w:val="0"/>
                    <w:jc w:val="center"/>
                    <w:rPr>
                      <w:kern w:val="0"/>
                      <w:szCs w:val="21"/>
                    </w:rPr>
                  </w:pPr>
                  <w:r>
                    <w:rPr>
                      <w:kern w:val="0"/>
                      <w:szCs w:val="21"/>
                    </w:rPr>
                    <w:t>/</w:t>
                  </w:r>
                </w:p>
              </w:tc>
              <w:tc>
                <w:tcPr>
                  <w:tcW w:w="1068" w:type="pct"/>
                  <w:vMerge w:val="continue"/>
                  <w:noWrap w:val="0"/>
                  <w:vAlign w:val="center"/>
                </w:tcPr>
                <w:p>
                  <w:pPr>
                    <w:pStyle w:val="48"/>
                    <w:adjustRightInd w:val="0"/>
                    <w:snapToGrid w:val="0"/>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28" w:type="dxa"/>
                  <w:bottom w:w="0" w:type="dxa"/>
                  <w:right w:w="28" w:type="dxa"/>
                </w:tblCellMar>
              </w:tblPrEx>
              <w:trPr>
                <w:trHeight w:val="340" w:hRule="atLeast"/>
              </w:trPr>
              <w:tc>
                <w:tcPr>
                  <w:tcW w:w="32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w:t>
                  </w:r>
                </w:p>
              </w:tc>
              <w:tc>
                <w:tcPr>
                  <w:tcW w:w="77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废包装材料</w:t>
                  </w:r>
                </w:p>
              </w:tc>
              <w:tc>
                <w:tcPr>
                  <w:tcW w:w="60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包装</w:t>
                  </w:r>
                </w:p>
              </w:tc>
              <w:tc>
                <w:tcPr>
                  <w:tcW w:w="376"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680"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塑料纸箱等</w:t>
                  </w:r>
                </w:p>
              </w:tc>
              <w:tc>
                <w:tcPr>
                  <w:tcW w:w="473"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0.02</w:t>
                  </w:r>
                </w:p>
              </w:tc>
              <w:tc>
                <w:tcPr>
                  <w:tcW w:w="348" w:type="pct"/>
                  <w:noWrap w:val="0"/>
                  <w:vAlign w:val="center"/>
                </w:tcPr>
                <w:p>
                  <w:pPr>
                    <w:adjustRightInd w:val="0"/>
                    <w:snapToGrid w:val="0"/>
                    <w:jc w:val="center"/>
                    <w:rPr>
                      <w:kern w:val="0"/>
                      <w:szCs w:val="21"/>
                    </w:rPr>
                  </w:pPr>
                  <w:r>
                    <w:rPr>
                      <w:kern w:val="0"/>
                      <w:szCs w:val="21"/>
                    </w:rPr>
                    <w:t>√</w:t>
                  </w:r>
                </w:p>
              </w:tc>
              <w:tc>
                <w:tcPr>
                  <w:tcW w:w="345" w:type="pct"/>
                  <w:noWrap w:val="0"/>
                  <w:vAlign w:val="center"/>
                </w:tcPr>
                <w:p>
                  <w:pPr>
                    <w:adjustRightInd w:val="0"/>
                    <w:snapToGrid w:val="0"/>
                    <w:jc w:val="center"/>
                    <w:rPr>
                      <w:kern w:val="0"/>
                      <w:szCs w:val="21"/>
                    </w:rPr>
                  </w:pPr>
                  <w:r>
                    <w:rPr>
                      <w:kern w:val="0"/>
                      <w:szCs w:val="21"/>
                    </w:rPr>
                    <w:t>/</w:t>
                  </w:r>
                </w:p>
              </w:tc>
              <w:tc>
                <w:tcPr>
                  <w:tcW w:w="1068" w:type="pct"/>
                  <w:vMerge w:val="continue"/>
                  <w:noWrap w:val="0"/>
                  <w:vAlign w:val="center"/>
                </w:tcPr>
                <w:p>
                  <w:pPr>
                    <w:pStyle w:val="48"/>
                    <w:adjustRightInd w:val="0"/>
                    <w:snapToGrid w:val="0"/>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28" w:type="dxa"/>
                  <w:bottom w:w="0" w:type="dxa"/>
                  <w:right w:w="28" w:type="dxa"/>
                </w:tblCellMar>
              </w:tblPrEx>
              <w:trPr>
                <w:trHeight w:val="340" w:hRule="atLeast"/>
              </w:trPr>
              <w:tc>
                <w:tcPr>
                  <w:tcW w:w="328"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77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废擦拭布</w:t>
                  </w:r>
                </w:p>
              </w:tc>
              <w:tc>
                <w:tcPr>
                  <w:tcW w:w="608"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穿PE管</w:t>
                  </w:r>
                </w:p>
              </w:tc>
              <w:tc>
                <w:tcPr>
                  <w:tcW w:w="376"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68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化纤布料、</w:t>
                  </w:r>
                </w:p>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硅油</w:t>
                  </w:r>
                </w:p>
              </w:tc>
              <w:tc>
                <w:tcPr>
                  <w:tcW w:w="473"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0.01</w:t>
                  </w:r>
                </w:p>
              </w:tc>
              <w:tc>
                <w:tcPr>
                  <w:tcW w:w="348" w:type="pct"/>
                  <w:noWrap w:val="0"/>
                  <w:vAlign w:val="center"/>
                </w:tcPr>
                <w:p>
                  <w:pPr>
                    <w:adjustRightInd w:val="0"/>
                    <w:snapToGrid w:val="0"/>
                    <w:jc w:val="center"/>
                    <w:rPr>
                      <w:kern w:val="0"/>
                      <w:szCs w:val="21"/>
                    </w:rPr>
                  </w:pPr>
                  <w:r>
                    <w:rPr>
                      <w:kern w:val="0"/>
                      <w:szCs w:val="21"/>
                    </w:rPr>
                    <w:t>√</w:t>
                  </w:r>
                </w:p>
              </w:tc>
              <w:tc>
                <w:tcPr>
                  <w:tcW w:w="345" w:type="pct"/>
                  <w:noWrap w:val="0"/>
                  <w:vAlign w:val="center"/>
                </w:tcPr>
                <w:p>
                  <w:pPr>
                    <w:adjustRightInd w:val="0"/>
                    <w:snapToGrid w:val="0"/>
                    <w:jc w:val="center"/>
                    <w:rPr>
                      <w:kern w:val="0"/>
                      <w:szCs w:val="21"/>
                    </w:rPr>
                  </w:pPr>
                  <w:r>
                    <w:rPr>
                      <w:kern w:val="0"/>
                      <w:szCs w:val="21"/>
                    </w:rPr>
                    <w:t>/</w:t>
                  </w:r>
                </w:p>
              </w:tc>
              <w:tc>
                <w:tcPr>
                  <w:tcW w:w="1068" w:type="pct"/>
                  <w:vMerge w:val="continue"/>
                  <w:noWrap w:val="0"/>
                  <w:vAlign w:val="center"/>
                </w:tcPr>
                <w:p>
                  <w:pPr>
                    <w:pStyle w:val="48"/>
                    <w:adjustRightInd w:val="0"/>
                    <w:snapToGrid w:val="0"/>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28" w:type="dxa"/>
                  <w:bottom w:w="0" w:type="dxa"/>
                  <w:right w:w="28" w:type="dxa"/>
                </w:tblCellMar>
              </w:tblPrEx>
              <w:trPr>
                <w:trHeight w:val="340" w:hRule="atLeast"/>
              </w:trPr>
              <w:tc>
                <w:tcPr>
                  <w:tcW w:w="328"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w:t>
                  </w:r>
                </w:p>
              </w:tc>
              <w:tc>
                <w:tcPr>
                  <w:tcW w:w="770"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废液</w:t>
                  </w:r>
                </w:p>
              </w:tc>
              <w:tc>
                <w:tcPr>
                  <w:tcW w:w="608"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抛光</w:t>
                  </w:r>
                </w:p>
              </w:tc>
              <w:tc>
                <w:tcPr>
                  <w:tcW w:w="376"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液态</w:t>
                  </w:r>
                </w:p>
              </w:tc>
              <w:tc>
                <w:tcPr>
                  <w:tcW w:w="68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金属粉尘、</w:t>
                  </w:r>
                </w:p>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废水</w:t>
                  </w:r>
                </w:p>
              </w:tc>
              <w:tc>
                <w:tcPr>
                  <w:tcW w:w="473"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0.054</w:t>
                  </w:r>
                </w:p>
              </w:tc>
              <w:tc>
                <w:tcPr>
                  <w:tcW w:w="348" w:type="pct"/>
                  <w:noWrap w:val="0"/>
                  <w:vAlign w:val="center"/>
                </w:tcPr>
                <w:p>
                  <w:pPr>
                    <w:adjustRightInd w:val="0"/>
                    <w:snapToGrid w:val="0"/>
                    <w:jc w:val="center"/>
                    <w:rPr>
                      <w:kern w:val="0"/>
                      <w:szCs w:val="21"/>
                    </w:rPr>
                  </w:pPr>
                  <w:r>
                    <w:rPr>
                      <w:kern w:val="0"/>
                      <w:szCs w:val="21"/>
                    </w:rPr>
                    <w:t>√</w:t>
                  </w:r>
                </w:p>
              </w:tc>
              <w:tc>
                <w:tcPr>
                  <w:tcW w:w="345" w:type="pct"/>
                  <w:noWrap w:val="0"/>
                  <w:vAlign w:val="center"/>
                </w:tcPr>
                <w:p>
                  <w:pPr>
                    <w:adjustRightInd w:val="0"/>
                    <w:snapToGrid w:val="0"/>
                    <w:jc w:val="center"/>
                    <w:rPr>
                      <w:kern w:val="0"/>
                      <w:szCs w:val="21"/>
                    </w:rPr>
                  </w:pPr>
                  <w:r>
                    <w:rPr>
                      <w:kern w:val="0"/>
                      <w:szCs w:val="21"/>
                    </w:rPr>
                    <w:t>/</w:t>
                  </w:r>
                </w:p>
              </w:tc>
              <w:tc>
                <w:tcPr>
                  <w:tcW w:w="1068" w:type="pct"/>
                  <w:vMerge w:val="continue"/>
                  <w:noWrap w:val="0"/>
                  <w:vAlign w:val="center"/>
                </w:tcPr>
                <w:p>
                  <w:pPr>
                    <w:pStyle w:val="48"/>
                    <w:adjustRightInd w:val="0"/>
                    <w:snapToGrid w:val="0"/>
                    <w:rPr>
                      <w:rFonts w:eastAsia="宋体"/>
                      <w:kern w:val="0"/>
                    </w:rPr>
                  </w:pPr>
                </w:p>
              </w:tc>
            </w:tr>
          </w:tbl>
          <w:p>
            <w:pPr>
              <w:numPr>
                <w:ilvl w:val="0"/>
                <w:numId w:val="0"/>
              </w:numPr>
              <w:adjustRightInd w:val="0"/>
              <w:snapToGrid w:val="0"/>
              <w:spacing w:line="360" w:lineRule="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注：根据《固体废物鉴别标准 通则》（</w:t>
            </w:r>
            <w:r>
              <w:rPr>
                <w:rFonts w:hint="default" w:ascii="Times New Roman" w:hAnsi="Times New Roman" w:eastAsia="宋体" w:cs="Times New Roman"/>
                <w:bCs/>
                <w:sz w:val="21"/>
                <w:szCs w:val="21"/>
                <w:lang w:val="en-US" w:eastAsia="zh-CN"/>
              </w:rPr>
              <w:t>GB34330-2017</w:t>
            </w:r>
            <w:r>
              <w:rPr>
                <w:rFonts w:hint="eastAsia" w:ascii="Times New Roman" w:hAnsi="Times New Roman" w:eastAsia="宋体" w:cs="Times New Roman"/>
                <w:bCs/>
                <w:sz w:val="21"/>
                <w:szCs w:val="21"/>
                <w:lang w:val="en-US" w:eastAsia="zh-CN"/>
              </w:rPr>
              <w:t xml:space="preserve">）进行物质鉴别 </w:t>
            </w:r>
          </w:p>
          <w:p>
            <w:pPr>
              <w:numPr>
                <w:ilvl w:val="0"/>
                <w:numId w:val="0"/>
              </w:numPr>
              <w:adjustRightInd w:val="0"/>
              <w:snapToGrid w:val="0"/>
              <w:spacing w:line="360" w:lineRule="auto"/>
              <w:ind w:firstLine="420" w:firstLineChars="200"/>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 xml:space="preserve">废料、不合格品：产品加工和制造过程中产生的下脚料、边角料、残余物质等； </w:t>
            </w:r>
          </w:p>
          <w:p>
            <w:pPr>
              <w:numPr>
                <w:ilvl w:val="0"/>
                <w:numId w:val="0"/>
              </w:numPr>
              <w:adjustRightInd w:val="0"/>
              <w:snapToGrid w:val="0"/>
              <w:spacing w:line="360" w:lineRule="auto"/>
              <w:ind w:firstLine="420" w:firstLineChars="200"/>
              <w:rPr>
                <w:rFonts w:hint="eastAsia"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研磨粉尘</w:t>
            </w:r>
            <w:r>
              <w:rPr>
                <w:rFonts w:hint="eastAsia" w:ascii="Times New Roman" w:hAnsi="Times New Roman" w:eastAsia="宋体" w:cs="Times New Roman"/>
                <w:bCs/>
                <w:sz w:val="21"/>
                <w:szCs w:val="21"/>
                <w:lang w:val="en-US" w:eastAsia="zh-CN"/>
              </w:rPr>
              <w:t xml:space="preserve">：在金属表面处理过程中产生的电镀槽渣、打磨粉尘；  </w:t>
            </w:r>
          </w:p>
          <w:p>
            <w:pPr>
              <w:numPr>
                <w:ilvl w:val="0"/>
                <w:numId w:val="0"/>
              </w:numPr>
              <w:adjustRightInd w:val="0"/>
              <w:snapToGrid w:val="0"/>
              <w:spacing w:line="360" w:lineRule="auto"/>
              <w:ind w:firstLine="420" w:firstLineChars="200"/>
              <w:rPr>
                <w:rFonts w:hint="eastAsia"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生活垃圾</w:t>
            </w:r>
            <w:r>
              <w:rPr>
                <w:rFonts w:hint="eastAsia" w:ascii="Times New Roman" w:hAnsi="Times New Roman" w:eastAsia="宋体" w:cs="Times New Roman"/>
                <w:bCs/>
                <w:sz w:val="21"/>
                <w:szCs w:val="21"/>
                <w:lang w:val="en-US" w:eastAsia="zh-CN"/>
              </w:rPr>
              <w:t xml:space="preserve">：在消费或使用过程中产生的，因为使用寿命到期而不能继续按照原用途使用的物质； </w:t>
            </w:r>
          </w:p>
          <w:p>
            <w:pPr>
              <w:numPr>
                <w:ilvl w:val="0"/>
                <w:numId w:val="0"/>
              </w:numPr>
              <w:adjustRightInd w:val="0"/>
              <w:snapToGrid w:val="0"/>
              <w:spacing w:line="360" w:lineRule="auto"/>
              <w:ind w:firstLine="420" w:firstLineChars="200"/>
              <w:rPr>
                <w:rFonts w:hint="eastAsia"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废包装材料</w:t>
            </w:r>
            <w:r>
              <w:rPr>
                <w:rFonts w:hint="eastAsia" w:ascii="Times New Roman" w:hAnsi="Times New Roman" w:eastAsia="宋体" w:cs="Times New Roman"/>
                <w:bCs/>
                <w:sz w:val="21"/>
                <w:szCs w:val="21"/>
                <w:lang w:val="en-US" w:eastAsia="zh-CN"/>
              </w:rPr>
              <w:t xml:space="preserve">：因丧失原有功能而无法继续使用的物质。 </w:t>
            </w:r>
          </w:p>
          <w:p>
            <w:pPr>
              <w:numPr>
                <w:ilvl w:val="0"/>
                <w:numId w:val="0"/>
              </w:numPr>
              <w:adjustRightInd w:val="0"/>
              <w:snapToGrid w:val="0"/>
              <w:spacing w:line="360" w:lineRule="auto"/>
              <w:ind w:firstLine="420" w:firstLineChars="200"/>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废擦拭布：因为沾染、掺入、混杂无用或有害物质使其质量无法满足使用要求，而不能在市场出售、流通或者不能按照原用途使用的物质；</w:t>
            </w:r>
          </w:p>
          <w:p>
            <w:pPr>
              <w:numPr>
                <w:ilvl w:val="0"/>
                <w:numId w:val="0"/>
              </w:numPr>
              <w:adjustRightInd w:val="0"/>
              <w:snapToGrid w:val="0"/>
              <w:spacing w:line="360" w:lineRule="auto"/>
              <w:ind w:firstLine="420" w:firstLineChars="20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sz w:val="21"/>
                <w:szCs w:val="21"/>
                <w:lang w:val="en-US" w:eastAsia="zh-CN"/>
              </w:rPr>
              <w:t>废液：</w:t>
            </w:r>
            <w:r>
              <w:rPr>
                <w:rFonts w:hint="eastAsia" w:ascii="Times New Roman" w:hAnsi="Times New Roman" w:eastAsia="宋体" w:cs="Times New Roman"/>
                <w:bCs/>
                <w:sz w:val="21"/>
                <w:szCs w:val="21"/>
                <w:lang w:val="en-US" w:eastAsia="zh-CN"/>
              </w:rPr>
              <w:t>废水或废液（包括固体废物填埋场产生的渗滤液）处理产生的浓缩液；</w:t>
            </w:r>
          </w:p>
          <w:p>
            <w:pPr>
              <w:numPr>
                <w:ilvl w:val="0"/>
                <w:numId w:val="0"/>
              </w:numPr>
              <w:adjustRightInd w:val="0"/>
              <w:snapToGrid w:val="0"/>
              <w:spacing w:line="360" w:lineRule="auto"/>
              <w:ind w:firstLine="482" w:firstLineChars="20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②固废属性判定</w:t>
            </w:r>
          </w:p>
          <w:p>
            <w:pPr>
              <w:numPr>
                <w:ilvl w:val="0"/>
                <w:numId w:val="0"/>
              </w:numPr>
              <w:adjustRightInd w:val="0"/>
              <w:snapToGrid w:val="0"/>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根据《国家危险废物名录》（2021年版）以及《危险废物鉴别标准》，判定建设项目产生的固体废物是否属于危险废物。本项目固体废物产生源强汇总见表4-9。</w:t>
            </w:r>
          </w:p>
          <w:p>
            <w:pPr>
              <w:pStyle w:val="46"/>
              <w:spacing w:beforeLines="0" w:afterLines="0"/>
              <w:rPr>
                <w:rFonts w:eastAsia="宋体"/>
                <w:snapToGrid w:val="0"/>
              </w:rPr>
            </w:pPr>
            <w:r>
              <w:rPr>
                <w:rFonts w:eastAsia="宋体"/>
                <w:snapToGrid w:val="0"/>
              </w:rPr>
              <w:t>表4-</w:t>
            </w:r>
            <w:r>
              <w:rPr>
                <w:rFonts w:hint="eastAsia" w:eastAsia="宋体"/>
                <w:snapToGrid w:val="0"/>
                <w:lang w:val="en-US" w:eastAsia="zh-CN"/>
              </w:rPr>
              <w:t>9</w:t>
            </w:r>
            <w:r>
              <w:rPr>
                <w:rFonts w:hint="eastAsia" w:eastAsia="宋体"/>
                <w:snapToGrid w:val="0"/>
              </w:rPr>
              <w:t xml:space="preserve"> </w:t>
            </w:r>
            <w:r>
              <w:rPr>
                <w:rFonts w:eastAsia="宋体"/>
                <w:snapToGrid w:val="0"/>
              </w:rPr>
              <w:t xml:space="preserve"> 项目固体废物产生源强汇总表</w:t>
            </w:r>
          </w:p>
          <w:tbl>
            <w:tblPr>
              <w:tblStyle w:val="23"/>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71"/>
              <w:gridCol w:w="1132"/>
              <w:gridCol w:w="539"/>
              <w:gridCol w:w="1037"/>
              <w:gridCol w:w="583"/>
              <w:gridCol w:w="1139"/>
              <w:gridCol w:w="583"/>
              <w:gridCol w:w="824"/>
              <w:gridCol w:w="1193"/>
              <w:gridCol w:w="7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1" w:type="pct"/>
                  <w:noWrap w:val="0"/>
                  <w:vAlign w:val="center"/>
                </w:tcPr>
                <w:p>
                  <w:pPr>
                    <w:pStyle w:val="50"/>
                    <w:adjustRightInd w:val="0"/>
                    <w:snapToGrid w:val="0"/>
                    <w:rPr>
                      <w:rFonts w:eastAsia="宋体"/>
                    </w:rPr>
                  </w:pPr>
                  <w:r>
                    <w:rPr>
                      <w:rFonts w:eastAsia="宋体"/>
                    </w:rPr>
                    <w:t>序号</w:t>
                  </w:r>
                </w:p>
              </w:tc>
              <w:tc>
                <w:tcPr>
                  <w:tcW w:w="676" w:type="pct"/>
                  <w:noWrap w:val="0"/>
                  <w:vAlign w:val="center"/>
                </w:tcPr>
                <w:p>
                  <w:pPr>
                    <w:pStyle w:val="50"/>
                    <w:adjustRightInd w:val="0"/>
                    <w:snapToGrid w:val="0"/>
                    <w:rPr>
                      <w:rFonts w:eastAsia="宋体"/>
                    </w:rPr>
                  </w:pPr>
                  <w:r>
                    <w:rPr>
                      <w:rFonts w:eastAsia="宋体"/>
                    </w:rPr>
                    <w:t>固废名称</w:t>
                  </w:r>
                </w:p>
              </w:tc>
              <w:tc>
                <w:tcPr>
                  <w:tcW w:w="322" w:type="pct"/>
                  <w:noWrap w:val="0"/>
                  <w:vAlign w:val="center"/>
                </w:tcPr>
                <w:p>
                  <w:pPr>
                    <w:pStyle w:val="50"/>
                    <w:adjustRightInd w:val="0"/>
                    <w:snapToGrid w:val="0"/>
                    <w:rPr>
                      <w:rFonts w:eastAsia="宋体"/>
                    </w:rPr>
                  </w:pPr>
                  <w:r>
                    <w:rPr>
                      <w:rFonts w:eastAsia="宋体"/>
                    </w:rPr>
                    <w:t>属性</w:t>
                  </w:r>
                </w:p>
              </w:tc>
              <w:tc>
                <w:tcPr>
                  <w:tcW w:w="619" w:type="pct"/>
                  <w:noWrap w:val="0"/>
                  <w:vAlign w:val="center"/>
                </w:tcPr>
                <w:p>
                  <w:pPr>
                    <w:pStyle w:val="50"/>
                    <w:adjustRightInd w:val="0"/>
                    <w:snapToGrid w:val="0"/>
                    <w:rPr>
                      <w:rFonts w:eastAsia="宋体"/>
                    </w:rPr>
                  </w:pPr>
                  <w:r>
                    <w:rPr>
                      <w:rFonts w:eastAsia="宋体"/>
                    </w:rPr>
                    <w:t>产生工序</w:t>
                  </w:r>
                </w:p>
              </w:tc>
              <w:tc>
                <w:tcPr>
                  <w:tcW w:w="348" w:type="pct"/>
                  <w:noWrap w:val="0"/>
                  <w:vAlign w:val="center"/>
                </w:tcPr>
                <w:p>
                  <w:pPr>
                    <w:pStyle w:val="50"/>
                    <w:adjustRightInd w:val="0"/>
                    <w:snapToGrid w:val="0"/>
                    <w:rPr>
                      <w:rFonts w:eastAsia="宋体"/>
                    </w:rPr>
                  </w:pPr>
                  <w:r>
                    <w:rPr>
                      <w:rFonts w:eastAsia="宋体"/>
                    </w:rPr>
                    <w:t>形态</w:t>
                  </w:r>
                </w:p>
              </w:tc>
              <w:tc>
                <w:tcPr>
                  <w:tcW w:w="680" w:type="pct"/>
                  <w:noWrap w:val="0"/>
                  <w:vAlign w:val="center"/>
                </w:tcPr>
                <w:p>
                  <w:pPr>
                    <w:pStyle w:val="50"/>
                    <w:adjustRightInd w:val="0"/>
                    <w:snapToGrid w:val="0"/>
                    <w:rPr>
                      <w:rFonts w:eastAsia="宋体"/>
                    </w:rPr>
                  </w:pPr>
                  <w:r>
                    <w:rPr>
                      <w:rFonts w:eastAsia="宋体"/>
                    </w:rPr>
                    <w:t>主要成分</w:t>
                  </w:r>
                </w:p>
              </w:tc>
              <w:tc>
                <w:tcPr>
                  <w:tcW w:w="348" w:type="pct"/>
                  <w:noWrap w:val="0"/>
                  <w:vAlign w:val="center"/>
                </w:tcPr>
                <w:p>
                  <w:pPr>
                    <w:pStyle w:val="50"/>
                    <w:adjustRightInd w:val="0"/>
                    <w:snapToGrid w:val="0"/>
                    <w:rPr>
                      <w:rFonts w:eastAsia="宋体"/>
                    </w:rPr>
                  </w:pPr>
                  <w:r>
                    <w:rPr>
                      <w:rFonts w:eastAsia="宋体"/>
                    </w:rPr>
                    <w:t>危险</w:t>
                  </w:r>
                </w:p>
                <w:p>
                  <w:pPr>
                    <w:pStyle w:val="50"/>
                    <w:adjustRightInd w:val="0"/>
                    <w:snapToGrid w:val="0"/>
                    <w:rPr>
                      <w:rFonts w:eastAsia="宋体"/>
                    </w:rPr>
                  </w:pPr>
                  <w:r>
                    <w:rPr>
                      <w:rFonts w:eastAsia="宋体"/>
                    </w:rPr>
                    <w:t>特性</w:t>
                  </w:r>
                </w:p>
              </w:tc>
              <w:tc>
                <w:tcPr>
                  <w:tcW w:w="492" w:type="pct"/>
                  <w:noWrap w:val="0"/>
                  <w:vAlign w:val="center"/>
                </w:tcPr>
                <w:p>
                  <w:pPr>
                    <w:pStyle w:val="50"/>
                    <w:adjustRightInd w:val="0"/>
                    <w:snapToGrid w:val="0"/>
                    <w:rPr>
                      <w:rFonts w:eastAsia="宋体"/>
                    </w:rPr>
                  </w:pPr>
                  <w:r>
                    <w:rPr>
                      <w:rFonts w:eastAsia="宋体"/>
                    </w:rPr>
                    <w:t>废物</w:t>
                  </w:r>
                </w:p>
                <w:p>
                  <w:pPr>
                    <w:pStyle w:val="50"/>
                    <w:adjustRightInd w:val="0"/>
                    <w:snapToGrid w:val="0"/>
                    <w:rPr>
                      <w:rFonts w:eastAsia="宋体"/>
                    </w:rPr>
                  </w:pPr>
                  <w:r>
                    <w:rPr>
                      <w:rFonts w:eastAsia="宋体"/>
                    </w:rPr>
                    <w:t>类别</w:t>
                  </w:r>
                </w:p>
              </w:tc>
              <w:tc>
                <w:tcPr>
                  <w:tcW w:w="712" w:type="pct"/>
                  <w:noWrap w:val="0"/>
                  <w:vAlign w:val="center"/>
                </w:tcPr>
                <w:p>
                  <w:pPr>
                    <w:pStyle w:val="50"/>
                    <w:adjustRightInd w:val="0"/>
                    <w:snapToGrid w:val="0"/>
                    <w:rPr>
                      <w:rFonts w:eastAsia="宋体"/>
                    </w:rPr>
                  </w:pPr>
                  <w:r>
                    <w:rPr>
                      <w:rFonts w:eastAsia="宋体"/>
                    </w:rPr>
                    <w:t>废物代码</w:t>
                  </w:r>
                </w:p>
              </w:tc>
              <w:tc>
                <w:tcPr>
                  <w:tcW w:w="458" w:type="pct"/>
                  <w:noWrap w:val="0"/>
                  <w:vAlign w:val="center"/>
                </w:tcPr>
                <w:p>
                  <w:pPr>
                    <w:pStyle w:val="50"/>
                    <w:adjustRightInd w:val="0"/>
                    <w:snapToGrid w:val="0"/>
                    <w:rPr>
                      <w:rFonts w:eastAsia="宋体"/>
                    </w:rPr>
                  </w:pPr>
                  <w:r>
                    <w:rPr>
                      <w:rFonts w:eastAsia="宋体"/>
                    </w:rPr>
                    <w:t>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65" w:type="dxa"/>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76"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生活垃圾</w:t>
                  </w:r>
                </w:p>
              </w:tc>
              <w:tc>
                <w:tcPr>
                  <w:tcW w:w="322"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619"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员工生活</w:t>
                  </w:r>
                </w:p>
              </w:tc>
              <w:tc>
                <w:tcPr>
                  <w:tcW w:w="34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68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纸屑等</w:t>
                  </w:r>
                </w:p>
              </w:tc>
              <w:tc>
                <w:tcPr>
                  <w:tcW w:w="34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492"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712"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45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65" w:type="dxa"/>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676"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废料</w:t>
                  </w:r>
                </w:p>
              </w:tc>
              <w:tc>
                <w:tcPr>
                  <w:tcW w:w="322" w:type="pct"/>
                  <w:vMerge w:val="restar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一般固废</w:t>
                  </w:r>
                </w:p>
              </w:tc>
              <w:tc>
                <w:tcPr>
                  <w:tcW w:w="619"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定长</w:t>
                  </w:r>
                </w:p>
              </w:tc>
              <w:tc>
                <w:tcPr>
                  <w:tcW w:w="34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68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金属等</w:t>
                  </w:r>
                </w:p>
              </w:tc>
              <w:tc>
                <w:tcPr>
                  <w:tcW w:w="34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492"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99</w:t>
                  </w:r>
                </w:p>
              </w:tc>
              <w:tc>
                <w:tcPr>
                  <w:tcW w:w="712"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900-999-99</w:t>
                  </w:r>
                </w:p>
              </w:tc>
              <w:tc>
                <w:tcPr>
                  <w:tcW w:w="45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65" w:type="dxa"/>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676"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不合格品</w:t>
                  </w:r>
                </w:p>
              </w:tc>
              <w:tc>
                <w:tcPr>
                  <w:tcW w:w="322" w:type="pct"/>
                  <w:vMerge w:val="continue"/>
                  <w:noWrap w:val="0"/>
                  <w:vAlign w:val="center"/>
                </w:tcPr>
                <w:p>
                  <w:pPr>
                    <w:pStyle w:val="48"/>
                    <w:adjustRightInd w:val="0"/>
                    <w:snapToGrid w:val="0"/>
                    <w:rPr>
                      <w:rFonts w:hint="eastAsia" w:ascii="Times New Roman" w:hAnsi="Times New Roman" w:eastAsia="宋体" w:cs="Times New Roman"/>
                      <w:lang w:val="en-US" w:eastAsia="zh-CN"/>
                    </w:rPr>
                  </w:pPr>
                </w:p>
              </w:tc>
              <w:tc>
                <w:tcPr>
                  <w:tcW w:w="619"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检验</w:t>
                  </w:r>
                </w:p>
              </w:tc>
              <w:tc>
                <w:tcPr>
                  <w:tcW w:w="34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68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塑料金属等</w:t>
                  </w:r>
                </w:p>
              </w:tc>
              <w:tc>
                <w:tcPr>
                  <w:tcW w:w="34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492"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99</w:t>
                  </w:r>
                </w:p>
              </w:tc>
              <w:tc>
                <w:tcPr>
                  <w:tcW w:w="712"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900-999-99</w:t>
                  </w:r>
                </w:p>
              </w:tc>
              <w:tc>
                <w:tcPr>
                  <w:tcW w:w="458"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65" w:type="dxa"/>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w:t>
                  </w:r>
                </w:p>
              </w:tc>
              <w:tc>
                <w:tcPr>
                  <w:tcW w:w="676"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废包装材料</w:t>
                  </w:r>
                </w:p>
              </w:tc>
              <w:tc>
                <w:tcPr>
                  <w:tcW w:w="322" w:type="pct"/>
                  <w:vMerge w:val="continue"/>
                  <w:noWrap w:val="0"/>
                  <w:vAlign w:val="center"/>
                </w:tcPr>
                <w:p>
                  <w:pPr>
                    <w:pStyle w:val="48"/>
                    <w:adjustRightInd w:val="0"/>
                    <w:snapToGrid w:val="0"/>
                    <w:rPr>
                      <w:rFonts w:hint="eastAsia" w:ascii="Times New Roman" w:hAnsi="Times New Roman" w:eastAsia="宋体" w:cs="Times New Roman"/>
                      <w:lang w:val="en-US" w:eastAsia="zh-CN"/>
                    </w:rPr>
                  </w:pPr>
                </w:p>
              </w:tc>
              <w:tc>
                <w:tcPr>
                  <w:tcW w:w="619"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包装</w:t>
                  </w:r>
                </w:p>
              </w:tc>
              <w:tc>
                <w:tcPr>
                  <w:tcW w:w="34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68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塑料纸箱等</w:t>
                  </w:r>
                </w:p>
              </w:tc>
              <w:tc>
                <w:tcPr>
                  <w:tcW w:w="34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492"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99</w:t>
                  </w:r>
                </w:p>
              </w:tc>
              <w:tc>
                <w:tcPr>
                  <w:tcW w:w="712"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900-999-99</w:t>
                  </w:r>
                </w:p>
              </w:tc>
              <w:tc>
                <w:tcPr>
                  <w:tcW w:w="45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565" w:type="dxa"/>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676"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废擦拭布</w:t>
                  </w:r>
                </w:p>
              </w:tc>
              <w:tc>
                <w:tcPr>
                  <w:tcW w:w="322" w:type="pct"/>
                  <w:vMerge w:val="restart"/>
                  <w:noWrap w:val="0"/>
                  <w:vAlign w:val="center"/>
                </w:tcPr>
                <w:p>
                  <w:pPr>
                    <w:pStyle w:val="48"/>
                    <w:adjustRightInd w:val="0"/>
                    <w:snapToGrid w:val="0"/>
                    <w:rPr>
                      <w:rFonts w:hint="eastAsia" w:ascii="Times New Roman" w:hAnsi="Times New Roman" w:eastAsia="宋体" w:cs="Times New Roman"/>
                      <w:lang w:val="en-US" w:eastAsia="zh-CN"/>
                    </w:rPr>
                  </w:pPr>
                  <w:r>
                    <w:rPr>
                      <w:rFonts w:eastAsia="宋体"/>
                      <w:kern w:val="0"/>
                    </w:rPr>
                    <w:t>危险废物</w:t>
                  </w:r>
                </w:p>
              </w:tc>
              <w:tc>
                <w:tcPr>
                  <w:tcW w:w="619"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穿PE管</w:t>
                  </w:r>
                </w:p>
              </w:tc>
              <w:tc>
                <w:tcPr>
                  <w:tcW w:w="34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固态</w:t>
                  </w:r>
                </w:p>
              </w:tc>
              <w:tc>
                <w:tcPr>
                  <w:tcW w:w="68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化纤布料、</w:t>
                  </w:r>
                </w:p>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硅油</w:t>
                  </w:r>
                </w:p>
              </w:tc>
              <w:tc>
                <w:tcPr>
                  <w:tcW w:w="348"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492"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HW49</w:t>
                  </w:r>
                </w:p>
              </w:tc>
              <w:tc>
                <w:tcPr>
                  <w:tcW w:w="712" w:type="pct"/>
                  <w:noWrap w:val="0"/>
                  <w:vAlign w:val="center"/>
                </w:tcPr>
                <w:p>
                  <w:pPr>
                    <w:pStyle w:val="48"/>
                    <w:adjustRightInd w:val="0"/>
                    <w:snapToGrid w:val="0"/>
                    <w:rPr>
                      <w:rFonts w:hint="eastAsia" w:ascii="Times New Roman" w:hAnsi="Times New Roman" w:eastAsia="宋体" w:cs="Times New Roman"/>
                      <w:lang w:val="en-US" w:eastAsia="zh-CN"/>
                    </w:rPr>
                  </w:pPr>
                  <w:r>
                    <w:rPr>
                      <w:szCs w:val="21"/>
                    </w:rPr>
                    <w:t>900-0</w:t>
                  </w:r>
                  <w:r>
                    <w:rPr>
                      <w:rFonts w:hint="eastAsia"/>
                      <w:szCs w:val="21"/>
                      <w:lang w:val="en-US" w:eastAsia="zh-CN"/>
                    </w:rPr>
                    <w:t>41</w:t>
                  </w:r>
                  <w:r>
                    <w:rPr>
                      <w:rFonts w:hint="eastAsia"/>
                      <w:szCs w:val="21"/>
                    </w:rPr>
                    <w:t>-49</w:t>
                  </w:r>
                </w:p>
              </w:tc>
              <w:tc>
                <w:tcPr>
                  <w:tcW w:w="45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65" w:type="dxa"/>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w:t>
                  </w:r>
                </w:p>
              </w:tc>
              <w:tc>
                <w:tcPr>
                  <w:tcW w:w="676"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废液</w:t>
                  </w:r>
                </w:p>
              </w:tc>
              <w:tc>
                <w:tcPr>
                  <w:tcW w:w="322" w:type="pct"/>
                  <w:vMerge w:val="continue"/>
                  <w:noWrap w:val="0"/>
                  <w:vAlign w:val="center"/>
                </w:tcPr>
                <w:p>
                  <w:pPr>
                    <w:pStyle w:val="48"/>
                    <w:adjustRightInd w:val="0"/>
                    <w:snapToGrid w:val="0"/>
                    <w:rPr>
                      <w:rFonts w:eastAsia="宋体"/>
                      <w:kern w:val="0"/>
                    </w:rPr>
                  </w:pPr>
                </w:p>
              </w:tc>
              <w:tc>
                <w:tcPr>
                  <w:tcW w:w="619"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抛光</w:t>
                  </w:r>
                </w:p>
              </w:tc>
              <w:tc>
                <w:tcPr>
                  <w:tcW w:w="34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液态</w:t>
                  </w:r>
                </w:p>
              </w:tc>
              <w:tc>
                <w:tcPr>
                  <w:tcW w:w="680"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金属粉尘、</w:t>
                  </w:r>
                </w:p>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废水</w:t>
                  </w:r>
                </w:p>
              </w:tc>
              <w:tc>
                <w:tcPr>
                  <w:tcW w:w="348" w:type="pct"/>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492"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HW17</w:t>
                  </w:r>
                </w:p>
              </w:tc>
              <w:tc>
                <w:tcPr>
                  <w:tcW w:w="712" w:type="pct"/>
                  <w:noWrap w:val="0"/>
                  <w:vAlign w:val="center"/>
                </w:tcPr>
                <w:p>
                  <w:pPr>
                    <w:pStyle w:val="48"/>
                    <w:adjustRightInd w:val="0"/>
                    <w:snapToGrid w:val="0"/>
                    <w:rPr>
                      <w:szCs w:val="21"/>
                    </w:rPr>
                  </w:pPr>
                  <w:r>
                    <w:rPr>
                      <w:rFonts w:hint="eastAsia"/>
                      <w:szCs w:val="21"/>
                    </w:rPr>
                    <w:t>336-064-17</w:t>
                  </w:r>
                </w:p>
              </w:tc>
              <w:tc>
                <w:tcPr>
                  <w:tcW w:w="458" w:type="pct"/>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0.054</w:t>
                  </w:r>
                </w:p>
              </w:tc>
            </w:tr>
          </w:tbl>
          <w:p>
            <w:pPr>
              <w:pStyle w:val="40"/>
              <w:adjustRightInd w:val="0"/>
              <w:snapToGrid w:val="0"/>
              <w:spacing w:before="120" w:beforeLines="50" w:line="360" w:lineRule="auto"/>
              <w:ind w:firstLine="482"/>
              <w:rPr>
                <w:rFonts w:eastAsia="宋体"/>
                <w:b/>
                <w:bCs/>
              </w:rPr>
            </w:pPr>
            <w:r>
              <w:rPr>
                <w:rFonts w:hint="eastAsia" w:eastAsia="宋体"/>
                <w:b/>
                <w:bCs/>
              </w:rPr>
              <w:t>③</w:t>
            </w:r>
            <w:r>
              <w:rPr>
                <w:rFonts w:eastAsia="宋体"/>
                <w:b/>
                <w:bCs/>
              </w:rPr>
              <w:t>固体废物处置方式</w:t>
            </w:r>
          </w:p>
          <w:p>
            <w:pPr>
              <w:pStyle w:val="46"/>
              <w:spacing w:beforeLines="0" w:afterLines="0"/>
              <w:rPr>
                <w:rFonts w:hint="eastAsia" w:eastAsia="宋体"/>
                <w:snapToGrid w:val="0"/>
              </w:rPr>
            </w:pPr>
            <w:r>
              <w:rPr>
                <w:rFonts w:eastAsia="宋体"/>
                <w:snapToGrid w:val="0"/>
              </w:rPr>
              <w:t>表4-</w:t>
            </w:r>
            <w:r>
              <w:rPr>
                <w:rFonts w:hint="eastAsia" w:eastAsia="宋体"/>
                <w:snapToGrid w:val="0"/>
                <w:lang w:val="en-US" w:eastAsia="zh-CN"/>
              </w:rPr>
              <w:t>10</w:t>
            </w:r>
            <w:r>
              <w:rPr>
                <w:rFonts w:eastAsia="宋体"/>
                <w:snapToGrid w:val="0"/>
              </w:rPr>
              <w:t xml:space="preserve">  </w:t>
            </w:r>
            <w:r>
              <w:rPr>
                <w:rFonts w:hint="eastAsia" w:eastAsia="宋体"/>
                <w:snapToGrid w:val="0"/>
              </w:rPr>
              <w:t>项目</w:t>
            </w:r>
            <w:r>
              <w:rPr>
                <w:rFonts w:eastAsia="宋体"/>
                <w:snapToGrid w:val="0"/>
              </w:rPr>
              <w:t>固体废物</w:t>
            </w:r>
            <w:r>
              <w:rPr>
                <w:rFonts w:hint="eastAsia" w:eastAsia="宋体"/>
                <w:snapToGrid w:val="0"/>
              </w:rPr>
              <w:t>利用处置方式评价表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82"/>
              <w:gridCol w:w="1526"/>
              <w:gridCol w:w="1135"/>
              <w:gridCol w:w="660"/>
              <w:gridCol w:w="1344"/>
              <w:gridCol w:w="901"/>
              <w:gridCol w:w="1178"/>
              <w:gridCol w:w="115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77" w:type="dxa"/>
                  <w:noWrap w:val="0"/>
                  <w:vAlign w:val="center"/>
                </w:tcPr>
                <w:p>
                  <w:pPr>
                    <w:pStyle w:val="56"/>
                    <w:rPr>
                      <w:b/>
                    </w:rPr>
                  </w:pPr>
                  <w:r>
                    <w:rPr>
                      <w:b/>
                    </w:rPr>
                    <w:t>序号</w:t>
                  </w:r>
                </w:p>
              </w:tc>
              <w:tc>
                <w:tcPr>
                  <w:tcW w:w="1509" w:type="dxa"/>
                  <w:noWrap w:val="0"/>
                  <w:vAlign w:val="center"/>
                </w:tcPr>
                <w:p>
                  <w:pPr>
                    <w:pStyle w:val="56"/>
                    <w:rPr>
                      <w:b/>
                    </w:rPr>
                  </w:pPr>
                  <w:r>
                    <w:rPr>
                      <w:b/>
                    </w:rPr>
                    <w:t>固体废物名称</w:t>
                  </w:r>
                </w:p>
              </w:tc>
              <w:tc>
                <w:tcPr>
                  <w:tcW w:w="1122" w:type="dxa"/>
                  <w:noWrap w:val="0"/>
                  <w:vAlign w:val="center"/>
                </w:tcPr>
                <w:p>
                  <w:pPr>
                    <w:pStyle w:val="56"/>
                    <w:rPr>
                      <w:b/>
                    </w:rPr>
                  </w:pPr>
                  <w:r>
                    <w:rPr>
                      <w:b/>
                    </w:rPr>
                    <w:t>产生工序</w:t>
                  </w:r>
                </w:p>
              </w:tc>
              <w:tc>
                <w:tcPr>
                  <w:tcW w:w="653" w:type="dxa"/>
                  <w:noWrap w:val="0"/>
                  <w:vAlign w:val="center"/>
                </w:tcPr>
                <w:p>
                  <w:pPr>
                    <w:pStyle w:val="56"/>
                    <w:rPr>
                      <w:b/>
                    </w:rPr>
                  </w:pPr>
                  <w:r>
                    <w:rPr>
                      <w:b/>
                    </w:rPr>
                    <w:t>属性</w:t>
                  </w:r>
                </w:p>
              </w:tc>
              <w:tc>
                <w:tcPr>
                  <w:tcW w:w="1329" w:type="dxa"/>
                  <w:noWrap w:val="0"/>
                  <w:vAlign w:val="center"/>
                </w:tcPr>
                <w:p>
                  <w:pPr>
                    <w:pStyle w:val="56"/>
                    <w:rPr>
                      <w:b/>
                    </w:rPr>
                  </w:pPr>
                  <w:r>
                    <w:rPr>
                      <w:b/>
                    </w:rPr>
                    <w:t>废物代码</w:t>
                  </w:r>
                </w:p>
              </w:tc>
              <w:tc>
                <w:tcPr>
                  <w:tcW w:w="891" w:type="dxa"/>
                  <w:noWrap w:val="0"/>
                  <w:vAlign w:val="center"/>
                </w:tcPr>
                <w:p>
                  <w:pPr>
                    <w:pStyle w:val="56"/>
                    <w:rPr>
                      <w:b/>
                    </w:rPr>
                  </w:pPr>
                  <w:r>
                    <w:rPr>
                      <w:b/>
                    </w:rPr>
                    <w:t>产生量（t/a）</w:t>
                  </w:r>
                </w:p>
              </w:tc>
              <w:tc>
                <w:tcPr>
                  <w:tcW w:w="1164" w:type="dxa"/>
                  <w:noWrap w:val="0"/>
                  <w:vAlign w:val="center"/>
                </w:tcPr>
                <w:p>
                  <w:pPr>
                    <w:pStyle w:val="56"/>
                    <w:rPr>
                      <w:b/>
                    </w:rPr>
                  </w:pPr>
                  <w:r>
                    <w:rPr>
                      <w:b/>
                    </w:rPr>
                    <w:t>处理处置方式</w:t>
                  </w:r>
                </w:p>
              </w:tc>
              <w:tc>
                <w:tcPr>
                  <w:tcW w:w="1136" w:type="dxa"/>
                  <w:noWrap w:val="0"/>
                  <w:vAlign w:val="center"/>
                </w:tcPr>
                <w:p>
                  <w:pPr>
                    <w:pStyle w:val="56"/>
                    <w:rPr>
                      <w:b/>
                    </w:rPr>
                  </w:pPr>
                  <w:r>
                    <w:rPr>
                      <w:b/>
                    </w:rPr>
                    <w:t>利用处置单位</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77" w:type="dxa"/>
                  <w:noWrap w:val="0"/>
                  <w:vAlign w:val="center"/>
                </w:tcPr>
                <w:p>
                  <w:pPr>
                    <w:pStyle w:val="48"/>
                    <w:adjustRightInd w:val="0"/>
                    <w:snapToGrid w:val="0"/>
                  </w:pPr>
                  <w:r>
                    <w:rPr>
                      <w:rFonts w:hint="eastAsia" w:ascii="Times New Roman" w:hAnsi="Times New Roman" w:eastAsia="宋体" w:cs="Times New Roman"/>
                      <w:lang w:val="en-US" w:eastAsia="zh-CN"/>
                    </w:rPr>
                    <w:t>1</w:t>
                  </w:r>
                </w:p>
              </w:tc>
              <w:tc>
                <w:tcPr>
                  <w:tcW w:w="1509" w:type="dxa"/>
                  <w:noWrap w:val="0"/>
                  <w:vAlign w:val="center"/>
                </w:tcPr>
                <w:p>
                  <w:pPr>
                    <w:pStyle w:val="48"/>
                    <w:adjustRightInd w:val="0"/>
                    <w:snapToGrid w:val="0"/>
                  </w:pPr>
                  <w:r>
                    <w:rPr>
                      <w:rFonts w:hint="eastAsia" w:ascii="Times New Roman" w:hAnsi="Times New Roman" w:eastAsia="宋体" w:cs="Times New Roman"/>
                      <w:lang w:val="en-US" w:eastAsia="zh-CN"/>
                    </w:rPr>
                    <w:t>生活垃圾</w:t>
                  </w:r>
                </w:p>
              </w:tc>
              <w:tc>
                <w:tcPr>
                  <w:tcW w:w="1122" w:type="dxa"/>
                  <w:noWrap w:val="0"/>
                  <w:vAlign w:val="center"/>
                </w:tcPr>
                <w:p>
                  <w:pPr>
                    <w:pStyle w:val="48"/>
                    <w:adjustRightInd w:val="0"/>
                    <w:snapToGrid w:val="0"/>
                  </w:pPr>
                  <w:r>
                    <w:rPr>
                      <w:rFonts w:hint="eastAsia" w:ascii="Times New Roman" w:hAnsi="Times New Roman" w:eastAsia="宋体" w:cs="Times New Roman"/>
                      <w:lang w:val="en-US" w:eastAsia="zh-CN"/>
                    </w:rPr>
                    <w:t>员工生活</w:t>
                  </w:r>
                </w:p>
              </w:tc>
              <w:tc>
                <w:tcPr>
                  <w:tcW w:w="653" w:type="dxa"/>
                  <w:noWrap w:val="0"/>
                  <w:vAlign w:val="center"/>
                </w:tcPr>
                <w:p>
                  <w:pPr>
                    <w:pStyle w:val="48"/>
                    <w:adjustRightInd w:val="0"/>
                    <w:snapToGrid w:val="0"/>
                  </w:pPr>
                  <w:r>
                    <w:rPr>
                      <w:rFonts w:hint="eastAsia" w:eastAsia="宋体"/>
                      <w:kern w:val="0"/>
                    </w:rPr>
                    <w:t>--</w:t>
                  </w:r>
                </w:p>
              </w:tc>
              <w:tc>
                <w:tcPr>
                  <w:tcW w:w="1329" w:type="dxa"/>
                  <w:noWrap w:val="0"/>
                  <w:vAlign w:val="center"/>
                </w:tcPr>
                <w:p>
                  <w:pPr>
                    <w:adjustRightInd w:val="0"/>
                    <w:snapToGrid w:val="0"/>
                    <w:jc w:val="center"/>
                    <w:rPr>
                      <w:szCs w:val="21"/>
                    </w:rPr>
                  </w:pPr>
                  <w:r>
                    <w:rPr>
                      <w:rFonts w:hint="eastAsia"/>
                      <w:kern w:val="0"/>
                      <w:szCs w:val="21"/>
                    </w:rPr>
                    <w:t>--</w:t>
                  </w:r>
                </w:p>
              </w:tc>
              <w:tc>
                <w:tcPr>
                  <w:tcW w:w="891" w:type="dxa"/>
                  <w:noWrap w:val="0"/>
                  <w:vAlign w:val="center"/>
                </w:tcPr>
                <w:p>
                  <w:pPr>
                    <w:pStyle w:val="48"/>
                    <w:adjustRightInd w:val="0"/>
                    <w:snapToGrid w:val="0"/>
                  </w:pPr>
                  <w:r>
                    <w:rPr>
                      <w:rFonts w:hint="eastAsia" w:ascii="Times New Roman" w:hAnsi="Times New Roman" w:eastAsia="宋体" w:cs="Times New Roman"/>
                      <w:lang w:val="en-US" w:eastAsia="zh-CN"/>
                    </w:rPr>
                    <w:t>3.75</w:t>
                  </w:r>
                </w:p>
              </w:tc>
              <w:tc>
                <w:tcPr>
                  <w:tcW w:w="1164" w:type="dxa"/>
                  <w:noWrap w:val="0"/>
                  <w:vAlign w:val="center"/>
                </w:tcPr>
                <w:p>
                  <w:pPr>
                    <w:pStyle w:val="56"/>
                    <w:rPr>
                      <w:rFonts w:hint="eastAsia"/>
                    </w:rPr>
                  </w:pPr>
                  <w:r>
                    <w:rPr>
                      <w:rFonts w:hint="eastAsia"/>
                    </w:rPr>
                    <w:t>环卫清运</w:t>
                  </w:r>
                </w:p>
              </w:tc>
              <w:tc>
                <w:tcPr>
                  <w:tcW w:w="1136" w:type="dxa"/>
                  <w:noWrap w:val="0"/>
                  <w:vAlign w:val="center"/>
                </w:tcPr>
                <w:p>
                  <w:pPr>
                    <w:pStyle w:val="56"/>
                    <w:rPr>
                      <w:rFonts w:hint="eastAsia"/>
                    </w:rPr>
                  </w:pPr>
                  <w:r>
                    <w:rPr>
                      <w:rFonts w:hint="eastAsia"/>
                    </w:rPr>
                    <w:t>环卫部门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77" w:type="dxa"/>
                  <w:noWrap w:val="0"/>
                  <w:vAlign w:val="center"/>
                </w:tcPr>
                <w:p>
                  <w:pPr>
                    <w:pStyle w:val="48"/>
                    <w:adjustRightInd w:val="0"/>
                    <w:snapToGrid w:val="0"/>
                  </w:pPr>
                  <w:r>
                    <w:rPr>
                      <w:rFonts w:hint="eastAsia" w:ascii="Times New Roman" w:hAnsi="Times New Roman" w:eastAsia="宋体" w:cs="Times New Roman"/>
                      <w:lang w:val="en-US" w:eastAsia="zh-CN"/>
                    </w:rPr>
                    <w:t>2</w:t>
                  </w:r>
                </w:p>
              </w:tc>
              <w:tc>
                <w:tcPr>
                  <w:tcW w:w="1509" w:type="dxa"/>
                  <w:noWrap w:val="0"/>
                  <w:vAlign w:val="center"/>
                </w:tcPr>
                <w:p>
                  <w:pPr>
                    <w:pStyle w:val="48"/>
                    <w:adjustRightInd w:val="0"/>
                    <w:snapToGrid w:val="0"/>
                  </w:pPr>
                  <w:r>
                    <w:rPr>
                      <w:rFonts w:hint="eastAsia" w:ascii="Times New Roman" w:hAnsi="Times New Roman" w:eastAsia="宋体" w:cs="Times New Roman"/>
                      <w:lang w:val="en-US" w:eastAsia="zh-CN"/>
                    </w:rPr>
                    <w:t>废料</w:t>
                  </w:r>
                </w:p>
              </w:tc>
              <w:tc>
                <w:tcPr>
                  <w:tcW w:w="1122" w:type="dxa"/>
                  <w:noWrap w:val="0"/>
                  <w:vAlign w:val="center"/>
                </w:tcPr>
                <w:p>
                  <w:pPr>
                    <w:pStyle w:val="48"/>
                    <w:adjustRightInd w:val="0"/>
                    <w:snapToGrid w:val="0"/>
                  </w:pPr>
                  <w:r>
                    <w:rPr>
                      <w:rFonts w:hint="eastAsia" w:ascii="Times New Roman" w:hAnsi="Times New Roman" w:eastAsia="宋体" w:cs="Times New Roman"/>
                      <w:lang w:val="en-US" w:eastAsia="zh-CN"/>
                    </w:rPr>
                    <w:t>定长</w:t>
                  </w:r>
                </w:p>
              </w:tc>
              <w:tc>
                <w:tcPr>
                  <w:tcW w:w="653" w:type="dxa"/>
                  <w:vMerge w:val="restart"/>
                  <w:noWrap w:val="0"/>
                  <w:vAlign w:val="center"/>
                </w:tcPr>
                <w:p>
                  <w:pPr>
                    <w:pStyle w:val="48"/>
                    <w:adjustRightInd w:val="0"/>
                    <w:snapToGrid w:val="0"/>
                  </w:pPr>
                  <w:r>
                    <w:rPr>
                      <w:rFonts w:hint="eastAsia" w:eastAsia="宋体"/>
                      <w:kern w:val="0"/>
                    </w:rPr>
                    <w:t>一般固废</w:t>
                  </w:r>
                </w:p>
              </w:tc>
              <w:tc>
                <w:tcPr>
                  <w:tcW w:w="1329" w:type="dxa"/>
                  <w:noWrap w:val="0"/>
                  <w:vAlign w:val="center"/>
                </w:tcPr>
                <w:p>
                  <w:pPr>
                    <w:adjustRightInd w:val="0"/>
                    <w:snapToGrid w:val="0"/>
                    <w:jc w:val="center"/>
                    <w:rPr>
                      <w:szCs w:val="21"/>
                    </w:rPr>
                  </w:pPr>
                  <w:r>
                    <w:rPr>
                      <w:rFonts w:hint="eastAsia"/>
                      <w:kern w:val="0"/>
                    </w:rPr>
                    <w:t>900-999-99</w:t>
                  </w:r>
                </w:p>
              </w:tc>
              <w:tc>
                <w:tcPr>
                  <w:tcW w:w="891" w:type="dxa"/>
                  <w:noWrap w:val="0"/>
                  <w:vAlign w:val="center"/>
                </w:tcPr>
                <w:p>
                  <w:pPr>
                    <w:pStyle w:val="48"/>
                    <w:adjustRightInd w:val="0"/>
                    <w:snapToGrid w:val="0"/>
                    <w:rPr>
                      <w:rFonts w:hint="eastAsia" w:eastAsia="宋体"/>
                    </w:rPr>
                  </w:pPr>
                  <w:r>
                    <w:rPr>
                      <w:rFonts w:hint="eastAsia" w:ascii="Times New Roman" w:hAnsi="Times New Roman" w:eastAsia="宋体" w:cs="Times New Roman"/>
                      <w:lang w:val="en-US" w:eastAsia="zh-CN"/>
                    </w:rPr>
                    <w:t>0.03</w:t>
                  </w:r>
                </w:p>
              </w:tc>
              <w:tc>
                <w:tcPr>
                  <w:tcW w:w="1164" w:type="dxa"/>
                  <w:vMerge w:val="restart"/>
                  <w:noWrap w:val="0"/>
                  <w:vAlign w:val="center"/>
                </w:tcPr>
                <w:p>
                  <w:pPr>
                    <w:pStyle w:val="56"/>
                    <w:rPr>
                      <w:rFonts w:hint="eastAsia"/>
                    </w:rPr>
                  </w:pPr>
                  <w:r>
                    <w:rPr>
                      <w:rFonts w:hint="eastAsia"/>
                    </w:rPr>
                    <w:t>固废处置单位处置</w:t>
                  </w:r>
                </w:p>
              </w:tc>
              <w:tc>
                <w:tcPr>
                  <w:tcW w:w="1136" w:type="dxa"/>
                  <w:vMerge w:val="restart"/>
                  <w:noWrap w:val="0"/>
                  <w:vAlign w:val="center"/>
                </w:tcPr>
                <w:p>
                  <w:pPr>
                    <w:pStyle w:val="56"/>
                    <w:rPr>
                      <w:rFonts w:hint="eastAsia"/>
                    </w:rPr>
                  </w:pPr>
                  <w:r>
                    <w:rPr>
                      <w:rFonts w:hint="eastAsia"/>
                    </w:rPr>
                    <w:t>固废单位</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4" w:hRule="atLeast"/>
                <w:jc w:val="center"/>
              </w:trPr>
              <w:tc>
                <w:tcPr>
                  <w:tcW w:w="477" w:type="dxa"/>
                  <w:noWrap w:val="0"/>
                  <w:vAlign w:val="center"/>
                </w:tcPr>
                <w:p>
                  <w:pPr>
                    <w:pStyle w:val="48"/>
                    <w:adjustRightInd w:val="0"/>
                    <w:snapToGrid w:val="0"/>
                    <w:rPr>
                      <w:rFonts w:eastAsia="宋体"/>
                    </w:rPr>
                  </w:pPr>
                  <w:r>
                    <w:rPr>
                      <w:rFonts w:hint="eastAsia" w:ascii="Times New Roman" w:hAnsi="Times New Roman" w:eastAsia="宋体" w:cs="Times New Roman"/>
                      <w:lang w:val="en-US" w:eastAsia="zh-CN"/>
                    </w:rPr>
                    <w:t>3</w:t>
                  </w:r>
                </w:p>
              </w:tc>
              <w:tc>
                <w:tcPr>
                  <w:tcW w:w="1509" w:type="dxa"/>
                  <w:noWrap w:val="0"/>
                  <w:vAlign w:val="center"/>
                </w:tcPr>
                <w:p>
                  <w:pPr>
                    <w:pStyle w:val="48"/>
                    <w:adjustRightInd w:val="0"/>
                    <w:snapToGrid w:val="0"/>
                    <w:rPr>
                      <w:rFonts w:hint="eastAsia" w:eastAsia="宋体"/>
                      <w:kern w:val="0"/>
                    </w:rPr>
                  </w:pPr>
                  <w:r>
                    <w:rPr>
                      <w:rFonts w:hint="eastAsia" w:ascii="Times New Roman" w:hAnsi="Times New Roman" w:eastAsia="宋体" w:cs="Times New Roman"/>
                      <w:lang w:val="en-US" w:eastAsia="zh-CN"/>
                    </w:rPr>
                    <w:t>不合格品</w:t>
                  </w:r>
                </w:p>
              </w:tc>
              <w:tc>
                <w:tcPr>
                  <w:tcW w:w="1122" w:type="dxa"/>
                  <w:noWrap w:val="0"/>
                  <w:vAlign w:val="center"/>
                </w:tcPr>
                <w:p>
                  <w:pPr>
                    <w:pStyle w:val="48"/>
                    <w:adjustRightInd w:val="0"/>
                    <w:snapToGrid w:val="0"/>
                    <w:rPr>
                      <w:rFonts w:hint="eastAsia" w:eastAsia="宋体"/>
                    </w:rPr>
                  </w:pPr>
                  <w:r>
                    <w:rPr>
                      <w:rFonts w:hint="eastAsia" w:ascii="Times New Roman" w:hAnsi="Times New Roman" w:eastAsia="宋体" w:cs="Times New Roman"/>
                      <w:lang w:val="en-US" w:eastAsia="zh-CN"/>
                    </w:rPr>
                    <w:t>检验</w:t>
                  </w:r>
                </w:p>
              </w:tc>
              <w:tc>
                <w:tcPr>
                  <w:tcW w:w="653" w:type="dxa"/>
                  <w:vMerge w:val="continue"/>
                  <w:noWrap w:val="0"/>
                  <w:vAlign w:val="center"/>
                </w:tcPr>
                <w:p>
                  <w:pPr>
                    <w:pStyle w:val="48"/>
                    <w:adjustRightInd w:val="0"/>
                    <w:snapToGrid w:val="0"/>
                    <w:rPr>
                      <w:rFonts w:hint="eastAsia" w:eastAsia="宋体"/>
                      <w:kern w:val="0"/>
                    </w:rPr>
                  </w:pPr>
                </w:p>
              </w:tc>
              <w:tc>
                <w:tcPr>
                  <w:tcW w:w="1329" w:type="dxa"/>
                  <w:noWrap w:val="0"/>
                  <w:vAlign w:val="center"/>
                </w:tcPr>
                <w:p>
                  <w:pPr>
                    <w:adjustRightInd w:val="0"/>
                    <w:snapToGrid w:val="0"/>
                    <w:jc w:val="center"/>
                    <w:rPr>
                      <w:rFonts w:hint="eastAsia"/>
                      <w:kern w:val="0"/>
                    </w:rPr>
                  </w:pPr>
                  <w:r>
                    <w:rPr>
                      <w:rFonts w:hint="eastAsia"/>
                      <w:kern w:val="0"/>
                    </w:rPr>
                    <w:t>900-999-99</w:t>
                  </w:r>
                </w:p>
              </w:tc>
              <w:tc>
                <w:tcPr>
                  <w:tcW w:w="891" w:type="dxa"/>
                  <w:noWrap w:val="0"/>
                  <w:vAlign w:val="center"/>
                </w:tcPr>
                <w:p>
                  <w:pPr>
                    <w:pStyle w:val="48"/>
                    <w:adjustRightInd w:val="0"/>
                    <w:snapToGrid w:val="0"/>
                    <w:rPr>
                      <w:rFonts w:hint="default" w:eastAsia="宋体"/>
                      <w:kern w:val="0"/>
                      <w:lang w:val="en-US" w:eastAsia="zh-CN"/>
                    </w:rPr>
                  </w:pPr>
                  <w:r>
                    <w:rPr>
                      <w:rFonts w:hint="eastAsia" w:ascii="Times New Roman" w:hAnsi="Times New Roman" w:eastAsia="宋体" w:cs="Times New Roman"/>
                      <w:lang w:val="en-US" w:eastAsia="zh-CN"/>
                    </w:rPr>
                    <w:t>0.02</w:t>
                  </w:r>
                </w:p>
              </w:tc>
              <w:tc>
                <w:tcPr>
                  <w:tcW w:w="1164" w:type="dxa"/>
                  <w:vMerge w:val="continue"/>
                  <w:noWrap w:val="0"/>
                  <w:vAlign w:val="center"/>
                </w:tcPr>
                <w:p>
                  <w:pPr>
                    <w:pStyle w:val="56"/>
                    <w:rPr>
                      <w:rFonts w:hint="eastAsia"/>
                    </w:rPr>
                  </w:pPr>
                </w:p>
              </w:tc>
              <w:tc>
                <w:tcPr>
                  <w:tcW w:w="1136" w:type="dxa"/>
                  <w:vMerge w:val="continue"/>
                  <w:noWrap w:val="0"/>
                  <w:vAlign w:val="center"/>
                </w:tcPr>
                <w:p>
                  <w:pPr>
                    <w:pStyle w:val="56"/>
                    <w:rPr>
                      <w:rFonts w:hint="eastAsia"/>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77" w:type="dxa"/>
                  <w:noWrap w:val="0"/>
                  <w:vAlign w:val="center"/>
                </w:tcPr>
                <w:p>
                  <w:pPr>
                    <w:pStyle w:val="48"/>
                    <w:adjustRightInd w:val="0"/>
                    <w:snapToGrid w:val="0"/>
                    <w:rPr>
                      <w:rFonts w:hint="eastAsia"/>
                    </w:rPr>
                  </w:pPr>
                  <w:r>
                    <w:rPr>
                      <w:rFonts w:hint="eastAsia" w:ascii="Times New Roman" w:hAnsi="Times New Roman" w:eastAsia="宋体" w:cs="Times New Roman"/>
                      <w:lang w:val="en-US" w:eastAsia="zh-CN"/>
                    </w:rPr>
                    <w:t>4</w:t>
                  </w:r>
                </w:p>
              </w:tc>
              <w:tc>
                <w:tcPr>
                  <w:tcW w:w="1509" w:type="dxa"/>
                  <w:noWrap w:val="0"/>
                  <w:vAlign w:val="center"/>
                </w:tcPr>
                <w:p>
                  <w:pPr>
                    <w:pStyle w:val="48"/>
                    <w:adjustRightInd w:val="0"/>
                    <w:snapToGrid w:val="0"/>
                    <w:rPr>
                      <w:rFonts w:hint="eastAsia" w:eastAsia="宋体"/>
                      <w:kern w:val="0"/>
                    </w:rPr>
                  </w:pPr>
                  <w:r>
                    <w:rPr>
                      <w:rFonts w:hint="eastAsia" w:ascii="Times New Roman" w:hAnsi="Times New Roman" w:eastAsia="宋体" w:cs="Times New Roman"/>
                      <w:lang w:val="en-US" w:eastAsia="zh-CN"/>
                    </w:rPr>
                    <w:t>废包装材料</w:t>
                  </w:r>
                </w:p>
              </w:tc>
              <w:tc>
                <w:tcPr>
                  <w:tcW w:w="1122" w:type="dxa"/>
                  <w:noWrap w:val="0"/>
                  <w:vAlign w:val="center"/>
                </w:tcPr>
                <w:p>
                  <w:pPr>
                    <w:pStyle w:val="48"/>
                    <w:adjustRightInd w:val="0"/>
                    <w:snapToGrid w:val="0"/>
                    <w:rPr>
                      <w:rFonts w:hint="eastAsia" w:eastAsia="宋体"/>
                    </w:rPr>
                  </w:pPr>
                  <w:r>
                    <w:rPr>
                      <w:rFonts w:hint="eastAsia" w:ascii="Times New Roman" w:hAnsi="Times New Roman" w:eastAsia="宋体" w:cs="Times New Roman"/>
                      <w:lang w:val="en-US" w:eastAsia="zh-CN"/>
                    </w:rPr>
                    <w:t>包装</w:t>
                  </w:r>
                </w:p>
              </w:tc>
              <w:tc>
                <w:tcPr>
                  <w:tcW w:w="653" w:type="dxa"/>
                  <w:vMerge w:val="continue"/>
                  <w:noWrap w:val="0"/>
                  <w:vAlign w:val="center"/>
                </w:tcPr>
                <w:p>
                  <w:pPr>
                    <w:pStyle w:val="48"/>
                    <w:adjustRightInd w:val="0"/>
                    <w:snapToGrid w:val="0"/>
                    <w:rPr>
                      <w:rFonts w:eastAsia="宋体"/>
                      <w:kern w:val="0"/>
                    </w:rPr>
                  </w:pPr>
                </w:p>
              </w:tc>
              <w:tc>
                <w:tcPr>
                  <w:tcW w:w="1329" w:type="dxa"/>
                  <w:noWrap w:val="0"/>
                  <w:vAlign w:val="center"/>
                </w:tcPr>
                <w:p>
                  <w:pPr>
                    <w:adjustRightInd w:val="0"/>
                    <w:snapToGrid w:val="0"/>
                    <w:jc w:val="center"/>
                    <w:rPr>
                      <w:szCs w:val="21"/>
                    </w:rPr>
                  </w:pPr>
                  <w:r>
                    <w:rPr>
                      <w:rFonts w:hint="eastAsia"/>
                      <w:kern w:val="0"/>
                    </w:rPr>
                    <w:t>900-999-99</w:t>
                  </w:r>
                </w:p>
              </w:tc>
              <w:tc>
                <w:tcPr>
                  <w:tcW w:w="891" w:type="dxa"/>
                  <w:noWrap w:val="0"/>
                  <w:vAlign w:val="center"/>
                </w:tcPr>
                <w:p>
                  <w:pPr>
                    <w:pStyle w:val="48"/>
                    <w:adjustRightInd w:val="0"/>
                    <w:snapToGrid w:val="0"/>
                    <w:rPr>
                      <w:rFonts w:hint="eastAsia" w:eastAsia="宋体"/>
                      <w:kern w:val="0"/>
                    </w:rPr>
                  </w:pPr>
                  <w:r>
                    <w:rPr>
                      <w:rFonts w:hint="eastAsia" w:ascii="Times New Roman" w:hAnsi="Times New Roman" w:eastAsia="宋体" w:cs="Times New Roman"/>
                      <w:lang w:val="en-US" w:eastAsia="zh-CN"/>
                    </w:rPr>
                    <w:t>0.02</w:t>
                  </w:r>
                </w:p>
              </w:tc>
              <w:tc>
                <w:tcPr>
                  <w:tcW w:w="1164" w:type="dxa"/>
                  <w:noWrap w:val="0"/>
                  <w:vAlign w:val="center"/>
                </w:tcPr>
                <w:p>
                  <w:pPr>
                    <w:pStyle w:val="56"/>
                    <w:rPr>
                      <w:rFonts w:hint="eastAsia"/>
                    </w:rPr>
                  </w:pPr>
                  <w:r>
                    <w:rPr>
                      <w:rFonts w:hint="eastAsia"/>
                    </w:rPr>
                    <w:t>外售利用</w:t>
                  </w:r>
                </w:p>
              </w:tc>
              <w:tc>
                <w:tcPr>
                  <w:tcW w:w="1136" w:type="dxa"/>
                  <w:noWrap w:val="0"/>
                  <w:vAlign w:val="center"/>
                </w:tcPr>
                <w:p>
                  <w:pPr>
                    <w:pStyle w:val="56"/>
                    <w:rPr>
                      <w:rFonts w:hint="eastAsia"/>
                    </w:rPr>
                  </w:pPr>
                  <w:r>
                    <w:rPr>
                      <w:rFonts w:hint="eastAsia"/>
                    </w:rPr>
                    <w:t>物资公司</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477" w:type="dxa"/>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1509" w:type="dxa"/>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废擦拭布</w:t>
                  </w:r>
                </w:p>
              </w:tc>
              <w:tc>
                <w:tcPr>
                  <w:tcW w:w="1122" w:type="dxa"/>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穿PE管</w:t>
                  </w:r>
                </w:p>
              </w:tc>
              <w:tc>
                <w:tcPr>
                  <w:tcW w:w="653" w:type="dxa"/>
                  <w:vMerge w:val="restart"/>
                  <w:noWrap w:val="0"/>
                  <w:vAlign w:val="center"/>
                </w:tcPr>
                <w:p>
                  <w:pPr>
                    <w:pStyle w:val="48"/>
                    <w:adjustRightInd w:val="0"/>
                    <w:snapToGrid w:val="0"/>
                    <w:rPr>
                      <w:rFonts w:eastAsia="宋体"/>
                      <w:kern w:val="0"/>
                    </w:rPr>
                  </w:pPr>
                  <w:r>
                    <w:rPr>
                      <w:rFonts w:eastAsia="宋体"/>
                      <w:kern w:val="0"/>
                    </w:rPr>
                    <w:t>危险废物</w:t>
                  </w:r>
                </w:p>
              </w:tc>
              <w:tc>
                <w:tcPr>
                  <w:tcW w:w="1329" w:type="dxa"/>
                  <w:noWrap w:val="0"/>
                  <w:vAlign w:val="center"/>
                </w:tcPr>
                <w:p>
                  <w:pPr>
                    <w:adjustRightInd w:val="0"/>
                    <w:snapToGrid w:val="0"/>
                    <w:jc w:val="center"/>
                    <w:rPr>
                      <w:rFonts w:hint="eastAsia"/>
                      <w:kern w:val="0"/>
                    </w:rPr>
                  </w:pPr>
                  <w:r>
                    <w:rPr>
                      <w:szCs w:val="21"/>
                    </w:rPr>
                    <w:t>900-0</w:t>
                  </w:r>
                  <w:r>
                    <w:rPr>
                      <w:rFonts w:hint="eastAsia"/>
                      <w:szCs w:val="21"/>
                      <w:lang w:val="en-US" w:eastAsia="zh-CN"/>
                    </w:rPr>
                    <w:t>41</w:t>
                  </w:r>
                  <w:r>
                    <w:rPr>
                      <w:rFonts w:hint="eastAsia"/>
                      <w:szCs w:val="21"/>
                    </w:rPr>
                    <w:t>-49</w:t>
                  </w:r>
                </w:p>
              </w:tc>
              <w:tc>
                <w:tcPr>
                  <w:tcW w:w="891" w:type="dxa"/>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0.01</w:t>
                  </w:r>
                </w:p>
              </w:tc>
              <w:tc>
                <w:tcPr>
                  <w:tcW w:w="1164" w:type="dxa"/>
                  <w:vMerge w:val="restart"/>
                  <w:noWrap w:val="0"/>
                  <w:vAlign w:val="center"/>
                </w:tcPr>
                <w:p>
                  <w:pPr>
                    <w:pStyle w:val="56"/>
                    <w:rPr>
                      <w:rFonts w:hint="eastAsia"/>
                      <w:lang w:val="en-US" w:eastAsia="zh-CN"/>
                    </w:rPr>
                  </w:pPr>
                  <w:r>
                    <w:rPr>
                      <w:rFonts w:hint="eastAsia"/>
                      <w:lang w:val="en-US" w:eastAsia="zh-CN"/>
                    </w:rPr>
                    <w:t>危废仓库暂存、</w:t>
                  </w:r>
                </w:p>
                <w:p>
                  <w:pPr>
                    <w:pStyle w:val="56"/>
                    <w:rPr>
                      <w:rFonts w:hint="default"/>
                      <w:lang w:val="en-US" w:eastAsia="zh-CN"/>
                    </w:rPr>
                  </w:pPr>
                  <w:r>
                    <w:rPr>
                      <w:rFonts w:hint="eastAsia"/>
                    </w:rPr>
                    <w:t>有资质单位处置</w:t>
                  </w:r>
                </w:p>
              </w:tc>
              <w:tc>
                <w:tcPr>
                  <w:tcW w:w="1136" w:type="dxa"/>
                  <w:vMerge w:val="restart"/>
                  <w:noWrap w:val="0"/>
                  <w:vAlign w:val="center"/>
                </w:tcPr>
                <w:p>
                  <w:pPr>
                    <w:pStyle w:val="56"/>
                    <w:rPr>
                      <w:rFonts w:hint="eastAsia"/>
                    </w:rPr>
                  </w:pPr>
                  <w:r>
                    <w:rPr>
                      <w:rFonts w:hint="eastAsia"/>
                    </w:rPr>
                    <w:t>有资质单位处置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77" w:type="dxa"/>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w:t>
                  </w:r>
                </w:p>
              </w:tc>
              <w:tc>
                <w:tcPr>
                  <w:tcW w:w="1509" w:type="dxa"/>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废液</w:t>
                  </w:r>
                </w:p>
              </w:tc>
              <w:tc>
                <w:tcPr>
                  <w:tcW w:w="1122" w:type="dxa"/>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抛光</w:t>
                  </w:r>
                </w:p>
              </w:tc>
              <w:tc>
                <w:tcPr>
                  <w:tcW w:w="653" w:type="dxa"/>
                  <w:vMerge w:val="continue"/>
                  <w:noWrap w:val="0"/>
                  <w:vAlign w:val="center"/>
                </w:tcPr>
                <w:p>
                  <w:pPr>
                    <w:pStyle w:val="48"/>
                    <w:adjustRightInd w:val="0"/>
                    <w:snapToGrid w:val="0"/>
                    <w:rPr>
                      <w:rFonts w:eastAsia="宋体"/>
                      <w:kern w:val="0"/>
                    </w:rPr>
                  </w:pPr>
                </w:p>
              </w:tc>
              <w:tc>
                <w:tcPr>
                  <w:tcW w:w="1329" w:type="dxa"/>
                  <w:noWrap w:val="0"/>
                  <w:vAlign w:val="center"/>
                </w:tcPr>
                <w:p>
                  <w:pPr>
                    <w:pStyle w:val="48"/>
                    <w:adjustRightInd w:val="0"/>
                    <w:snapToGrid w:val="0"/>
                    <w:rPr>
                      <w:szCs w:val="21"/>
                    </w:rPr>
                  </w:pPr>
                  <w:r>
                    <w:rPr>
                      <w:rFonts w:hint="eastAsia"/>
                      <w:szCs w:val="21"/>
                    </w:rPr>
                    <w:t>336-064-17</w:t>
                  </w:r>
                </w:p>
              </w:tc>
              <w:tc>
                <w:tcPr>
                  <w:tcW w:w="891" w:type="dxa"/>
                  <w:noWrap w:val="0"/>
                  <w:vAlign w:val="center"/>
                </w:tcPr>
                <w:p>
                  <w:pPr>
                    <w:pStyle w:val="48"/>
                    <w:adjustRightInd w:val="0"/>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0.054</w:t>
                  </w:r>
                </w:p>
              </w:tc>
              <w:tc>
                <w:tcPr>
                  <w:tcW w:w="1164" w:type="dxa"/>
                  <w:vMerge w:val="continue"/>
                  <w:noWrap w:val="0"/>
                  <w:vAlign w:val="center"/>
                </w:tcPr>
                <w:p>
                  <w:pPr>
                    <w:pStyle w:val="56"/>
                    <w:rPr>
                      <w:rFonts w:hint="eastAsia"/>
                    </w:rPr>
                  </w:pPr>
                </w:p>
              </w:tc>
              <w:tc>
                <w:tcPr>
                  <w:tcW w:w="1136" w:type="dxa"/>
                  <w:vMerge w:val="continue"/>
                  <w:noWrap w:val="0"/>
                  <w:vAlign w:val="center"/>
                </w:tcPr>
                <w:p>
                  <w:pPr>
                    <w:pStyle w:val="56"/>
                    <w:rPr>
                      <w:rFonts w:hint="eastAsia"/>
                    </w:rPr>
                  </w:pPr>
                </w:p>
              </w:tc>
            </w:tr>
          </w:tbl>
          <w:p>
            <w:pPr>
              <w:pStyle w:val="40"/>
              <w:adjustRightInd w:val="0"/>
              <w:snapToGrid w:val="0"/>
              <w:spacing w:before="120" w:beforeLines="50" w:line="360" w:lineRule="auto"/>
              <w:ind w:firstLine="482"/>
              <w:rPr>
                <w:rFonts w:hint="eastAsia" w:eastAsia="宋体"/>
                <w:b/>
                <w:bCs/>
              </w:rPr>
            </w:pPr>
            <w:r>
              <w:rPr>
                <w:rFonts w:hint="eastAsia" w:eastAsia="宋体"/>
                <w:b/>
                <w:bCs/>
              </w:rPr>
              <w:t>（2）固体废物防治措施</w:t>
            </w:r>
          </w:p>
          <w:p>
            <w:pPr>
              <w:adjustRightInd w:val="0"/>
              <w:snapToGrid w:val="0"/>
              <w:spacing w:line="360" w:lineRule="auto"/>
              <w:ind w:firstLine="480" w:firstLineChars="200"/>
              <w:rPr>
                <w:rFonts w:hint="eastAsia"/>
                <w:kern w:val="0"/>
                <w:sz w:val="24"/>
              </w:rPr>
            </w:pPr>
            <w:r>
              <w:rPr>
                <w:rFonts w:hint="eastAsia"/>
                <w:kern w:val="0"/>
                <w:sz w:val="24"/>
              </w:rPr>
              <w:t>本项目产生的一般工业固体废物主要为</w:t>
            </w:r>
            <w:r>
              <w:rPr>
                <w:rFonts w:hint="eastAsia"/>
                <w:kern w:val="0"/>
                <w:sz w:val="24"/>
                <w:lang w:val="en-US" w:eastAsia="zh-CN"/>
              </w:rPr>
              <w:t>废料、不合格品、</w:t>
            </w:r>
            <w:r>
              <w:rPr>
                <w:rFonts w:hint="eastAsia"/>
                <w:sz w:val="24"/>
              </w:rPr>
              <w:t>废包装材料，废包装材料收集后外售物资公司综合利用</w:t>
            </w:r>
            <w:r>
              <w:rPr>
                <w:rFonts w:hint="eastAsia"/>
                <w:sz w:val="24"/>
                <w:lang w:eastAsia="zh-CN"/>
              </w:rPr>
              <w:t>，</w:t>
            </w:r>
            <w:r>
              <w:rPr>
                <w:rFonts w:hint="eastAsia"/>
                <w:kern w:val="0"/>
                <w:sz w:val="24"/>
                <w:lang w:val="en-US" w:eastAsia="zh-CN"/>
              </w:rPr>
              <w:t>废料、不合格品</w:t>
            </w:r>
            <w:r>
              <w:rPr>
                <w:rFonts w:hint="eastAsia"/>
                <w:sz w:val="24"/>
              </w:rPr>
              <w:t>委托固废处置单位处置</w:t>
            </w:r>
            <w:r>
              <w:rPr>
                <w:rFonts w:hint="eastAsia"/>
                <w:kern w:val="0"/>
                <w:sz w:val="24"/>
              </w:rPr>
              <w:t>；产生的危险废物主要是</w:t>
            </w:r>
            <w:r>
              <w:rPr>
                <w:rFonts w:hint="eastAsia"/>
                <w:kern w:val="0"/>
                <w:sz w:val="24"/>
                <w:lang w:val="en-US" w:eastAsia="zh-CN"/>
              </w:rPr>
              <w:t>废擦拭布以及废液</w:t>
            </w:r>
            <w:r>
              <w:rPr>
                <w:rFonts w:hint="eastAsia"/>
                <w:sz w:val="24"/>
              </w:rPr>
              <w:t>，统一收集后委托有资质单位处置</w:t>
            </w:r>
            <w:r>
              <w:rPr>
                <w:rFonts w:hint="eastAsia"/>
                <w:kern w:val="0"/>
                <w:sz w:val="24"/>
              </w:rPr>
              <w:t>；生活垃圾由环卫部门清运。</w:t>
            </w:r>
          </w:p>
          <w:p>
            <w:pPr>
              <w:adjustRightInd w:val="0"/>
              <w:snapToGrid w:val="0"/>
              <w:spacing w:line="360" w:lineRule="auto"/>
              <w:ind w:firstLine="482" w:firstLineChars="200"/>
              <w:rPr>
                <w:rFonts w:hint="eastAsia"/>
                <w:b/>
                <w:bCs/>
                <w:kern w:val="0"/>
                <w:sz w:val="24"/>
              </w:rPr>
            </w:pPr>
            <w:r>
              <w:rPr>
                <w:rFonts w:hint="eastAsia"/>
                <w:b/>
                <w:bCs/>
                <w:kern w:val="0"/>
                <w:sz w:val="24"/>
              </w:rPr>
              <w:t>1）危险废物防治措施</w:t>
            </w:r>
          </w:p>
          <w:p>
            <w:pPr>
              <w:adjustRightInd w:val="0"/>
              <w:snapToGrid w:val="0"/>
              <w:spacing w:line="360" w:lineRule="auto"/>
              <w:ind w:firstLine="482" w:firstLineChars="200"/>
              <w:rPr>
                <w:b/>
                <w:bCs/>
                <w:sz w:val="24"/>
              </w:rPr>
            </w:pPr>
            <w:bookmarkStart w:id="9" w:name="_Hlk62186912"/>
            <w:r>
              <w:rPr>
                <w:rFonts w:hint="eastAsia"/>
                <w:b/>
                <w:bCs/>
                <w:sz w:val="24"/>
              </w:rPr>
              <w:t>①</w:t>
            </w:r>
            <w:r>
              <w:rPr>
                <w:b/>
                <w:bCs/>
                <w:sz w:val="24"/>
              </w:rPr>
              <w:t>危险废物</w:t>
            </w:r>
            <w:r>
              <w:rPr>
                <w:rFonts w:hint="eastAsia"/>
                <w:b/>
                <w:bCs/>
                <w:sz w:val="24"/>
              </w:rPr>
              <w:t>贮存场所环境影响分析</w:t>
            </w:r>
          </w:p>
          <w:p>
            <w:pPr>
              <w:autoSpaceDE w:val="0"/>
              <w:autoSpaceDN w:val="0"/>
              <w:adjustRightInd w:val="0"/>
              <w:spacing w:line="360" w:lineRule="auto"/>
              <w:ind w:firstLine="480" w:firstLineChars="200"/>
              <w:rPr>
                <w:sz w:val="24"/>
              </w:rPr>
            </w:pPr>
            <w:r>
              <w:rPr>
                <w:sz w:val="24"/>
              </w:rPr>
              <w:t>本项目危险废物贮存场所基本情况详见表</w:t>
            </w:r>
            <w:r>
              <w:rPr>
                <w:rFonts w:hint="eastAsia"/>
                <w:sz w:val="24"/>
              </w:rPr>
              <w:t>4-22</w:t>
            </w:r>
            <w:r>
              <w:rPr>
                <w:sz w:val="24"/>
              </w:rPr>
              <w:t>。</w:t>
            </w:r>
          </w:p>
          <w:p>
            <w:pPr>
              <w:jc w:val="center"/>
              <w:rPr>
                <w:b/>
                <w:sz w:val="24"/>
              </w:rPr>
            </w:pPr>
            <w:r>
              <w:rPr>
                <w:b/>
                <w:sz w:val="24"/>
              </w:rPr>
              <w:t>表4</w:t>
            </w:r>
            <w:r>
              <w:rPr>
                <w:rFonts w:hint="eastAsia"/>
                <w:b/>
                <w:sz w:val="24"/>
              </w:rPr>
              <w:t>-</w:t>
            </w:r>
            <w:r>
              <w:rPr>
                <w:rFonts w:hint="eastAsia"/>
                <w:b/>
                <w:sz w:val="24"/>
                <w:lang w:val="en-US" w:eastAsia="zh-CN"/>
              </w:rPr>
              <w:t>11</w:t>
            </w:r>
            <w:r>
              <w:rPr>
                <w:b/>
                <w:sz w:val="24"/>
              </w:rPr>
              <w:t xml:space="preserve">  危险废物贮存场所基本情况表</w:t>
            </w:r>
          </w:p>
          <w:tbl>
            <w:tblPr>
              <w:tblStyle w:val="23"/>
              <w:tblW w:w="8312"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71"/>
              <w:gridCol w:w="814"/>
              <w:gridCol w:w="1083"/>
              <w:gridCol w:w="822"/>
              <w:gridCol w:w="1214"/>
              <w:gridCol w:w="871"/>
              <w:gridCol w:w="881"/>
              <w:gridCol w:w="676"/>
              <w:gridCol w:w="715"/>
              <w:gridCol w:w="76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75" w:type="dxa"/>
                  <w:noWrap w:val="0"/>
                  <w:vAlign w:val="center"/>
                </w:tcPr>
                <w:p>
                  <w:pPr>
                    <w:pStyle w:val="56"/>
                    <w:rPr>
                      <w:b/>
                    </w:rPr>
                  </w:pPr>
                  <w:r>
                    <w:rPr>
                      <w:b/>
                    </w:rPr>
                    <w:t>序号</w:t>
                  </w:r>
                </w:p>
              </w:tc>
              <w:tc>
                <w:tcPr>
                  <w:tcW w:w="843" w:type="dxa"/>
                  <w:noWrap w:val="0"/>
                  <w:vAlign w:val="center"/>
                </w:tcPr>
                <w:p>
                  <w:pPr>
                    <w:pStyle w:val="56"/>
                    <w:rPr>
                      <w:b/>
                    </w:rPr>
                  </w:pPr>
                  <w:r>
                    <w:rPr>
                      <w:b/>
                    </w:rPr>
                    <w:t>固体废物名称</w:t>
                  </w:r>
                </w:p>
              </w:tc>
              <w:tc>
                <w:tcPr>
                  <w:tcW w:w="1133" w:type="dxa"/>
                  <w:noWrap w:val="0"/>
                  <w:vAlign w:val="center"/>
                </w:tcPr>
                <w:p>
                  <w:pPr>
                    <w:pStyle w:val="56"/>
                    <w:rPr>
                      <w:b/>
                    </w:rPr>
                  </w:pPr>
                  <w:r>
                    <w:rPr>
                      <w:b/>
                    </w:rPr>
                    <w:t>贮存场所</w:t>
                  </w:r>
                </w:p>
              </w:tc>
              <w:tc>
                <w:tcPr>
                  <w:tcW w:w="825" w:type="dxa"/>
                  <w:noWrap w:val="0"/>
                  <w:vAlign w:val="center"/>
                </w:tcPr>
                <w:p>
                  <w:pPr>
                    <w:pStyle w:val="56"/>
                    <w:rPr>
                      <w:b/>
                    </w:rPr>
                  </w:pPr>
                  <w:r>
                    <w:rPr>
                      <w:b/>
                    </w:rPr>
                    <w:t>危废类别</w:t>
                  </w:r>
                </w:p>
              </w:tc>
              <w:tc>
                <w:tcPr>
                  <w:tcW w:w="1215" w:type="dxa"/>
                  <w:noWrap w:val="0"/>
                  <w:vAlign w:val="center"/>
                </w:tcPr>
                <w:p>
                  <w:pPr>
                    <w:pStyle w:val="56"/>
                    <w:rPr>
                      <w:b/>
                    </w:rPr>
                  </w:pPr>
                  <w:r>
                    <w:rPr>
                      <w:b/>
                    </w:rPr>
                    <w:t>废物代码</w:t>
                  </w:r>
                </w:p>
              </w:tc>
              <w:tc>
                <w:tcPr>
                  <w:tcW w:w="780" w:type="dxa"/>
                  <w:noWrap w:val="0"/>
                  <w:vAlign w:val="center"/>
                </w:tcPr>
                <w:p>
                  <w:pPr>
                    <w:pStyle w:val="56"/>
                    <w:rPr>
                      <w:b/>
                    </w:rPr>
                  </w:pPr>
                  <w:r>
                    <w:rPr>
                      <w:b/>
                    </w:rPr>
                    <w:t>产生量（t/a）</w:t>
                  </w:r>
                </w:p>
              </w:tc>
              <w:tc>
                <w:tcPr>
                  <w:tcW w:w="840" w:type="dxa"/>
                  <w:noWrap w:val="0"/>
                  <w:vAlign w:val="center"/>
                </w:tcPr>
                <w:p>
                  <w:pPr>
                    <w:pStyle w:val="56"/>
                    <w:rPr>
                      <w:b/>
                    </w:rPr>
                  </w:pPr>
                  <w:r>
                    <w:rPr>
                      <w:b/>
                    </w:rPr>
                    <w:t>占地面积</w:t>
                  </w:r>
                  <w:r>
                    <w:rPr>
                      <w:rFonts w:hint="eastAsia"/>
                      <w:b/>
                    </w:rPr>
                    <w:t>（m</w:t>
                  </w:r>
                  <w:r>
                    <w:rPr>
                      <w:rFonts w:hint="eastAsia"/>
                      <w:b/>
                      <w:vertAlign w:val="superscript"/>
                    </w:rPr>
                    <w:t>2</w:t>
                  </w:r>
                  <w:r>
                    <w:rPr>
                      <w:rFonts w:hint="eastAsia"/>
                      <w:b/>
                    </w:rPr>
                    <w:t>）</w:t>
                  </w:r>
                </w:p>
              </w:tc>
              <w:tc>
                <w:tcPr>
                  <w:tcW w:w="695" w:type="dxa"/>
                  <w:noWrap w:val="0"/>
                  <w:vAlign w:val="center"/>
                </w:tcPr>
                <w:p>
                  <w:pPr>
                    <w:pStyle w:val="56"/>
                    <w:rPr>
                      <w:b/>
                    </w:rPr>
                  </w:pPr>
                  <w:r>
                    <w:rPr>
                      <w:b/>
                    </w:rPr>
                    <w:t>贮存方式</w:t>
                  </w:r>
                </w:p>
              </w:tc>
              <w:tc>
                <w:tcPr>
                  <w:tcW w:w="715" w:type="dxa"/>
                  <w:noWrap w:val="0"/>
                  <w:vAlign w:val="center"/>
                </w:tcPr>
                <w:p>
                  <w:pPr>
                    <w:pStyle w:val="56"/>
                    <w:rPr>
                      <w:rFonts w:hint="eastAsia"/>
                      <w:b/>
                    </w:rPr>
                  </w:pPr>
                  <w:r>
                    <w:rPr>
                      <w:b/>
                    </w:rPr>
                    <w:t>贮存能力</w:t>
                  </w:r>
                  <w:r>
                    <w:rPr>
                      <w:rFonts w:hint="eastAsia"/>
                      <w:b/>
                    </w:rPr>
                    <w:t>（t）</w:t>
                  </w:r>
                </w:p>
              </w:tc>
              <w:tc>
                <w:tcPr>
                  <w:tcW w:w="791" w:type="dxa"/>
                  <w:noWrap w:val="0"/>
                  <w:vAlign w:val="center"/>
                </w:tcPr>
                <w:p>
                  <w:pPr>
                    <w:pStyle w:val="56"/>
                    <w:rPr>
                      <w:b/>
                    </w:rPr>
                  </w:pPr>
                  <w:r>
                    <w:rPr>
                      <w:b/>
                    </w:rPr>
                    <w:t>贮存周期</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475" w:type="dxa"/>
                  <w:noWrap w:val="0"/>
                  <w:vAlign w:val="center"/>
                </w:tcPr>
                <w:p>
                  <w:pPr>
                    <w:pStyle w:val="56"/>
                  </w:pPr>
                  <w:r>
                    <w:t>1</w:t>
                  </w:r>
                </w:p>
              </w:tc>
              <w:tc>
                <w:tcPr>
                  <w:tcW w:w="843" w:type="dxa"/>
                  <w:noWrap w:val="0"/>
                  <w:vAlign w:val="center"/>
                </w:tcPr>
                <w:p>
                  <w:pPr>
                    <w:pStyle w:val="48"/>
                    <w:adjustRightInd w:val="0"/>
                    <w:snapToGrid w:val="0"/>
                  </w:pPr>
                  <w:r>
                    <w:rPr>
                      <w:rFonts w:hint="eastAsia" w:ascii="Times New Roman" w:hAnsi="Times New Roman" w:eastAsia="宋体" w:cs="Times New Roman"/>
                      <w:lang w:val="en-US" w:eastAsia="zh-CN"/>
                    </w:rPr>
                    <w:t>废擦拭布</w:t>
                  </w:r>
                </w:p>
              </w:tc>
              <w:tc>
                <w:tcPr>
                  <w:tcW w:w="1133" w:type="dxa"/>
                  <w:noWrap w:val="0"/>
                  <w:vAlign w:val="center"/>
                </w:tcPr>
                <w:p>
                  <w:pPr>
                    <w:pStyle w:val="56"/>
                    <w:rPr>
                      <w:rFonts w:hint="eastAsia"/>
                    </w:rPr>
                  </w:pPr>
                  <w:r>
                    <w:rPr>
                      <w:rFonts w:hint="eastAsia"/>
                    </w:rPr>
                    <w:t>危险废物仓库</w:t>
                  </w:r>
                </w:p>
              </w:tc>
              <w:tc>
                <w:tcPr>
                  <w:tcW w:w="825" w:type="dxa"/>
                  <w:noWrap w:val="0"/>
                  <w:vAlign w:val="center"/>
                </w:tcPr>
                <w:p>
                  <w:pPr>
                    <w:adjustRightInd w:val="0"/>
                    <w:snapToGrid w:val="0"/>
                    <w:jc w:val="center"/>
                    <w:rPr>
                      <w:szCs w:val="21"/>
                    </w:rPr>
                  </w:pPr>
                  <w:r>
                    <w:rPr>
                      <w:szCs w:val="21"/>
                    </w:rPr>
                    <w:t>HW49</w:t>
                  </w:r>
                </w:p>
              </w:tc>
              <w:tc>
                <w:tcPr>
                  <w:tcW w:w="1215" w:type="dxa"/>
                  <w:noWrap w:val="0"/>
                  <w:vAlign w:val="center"/>
                </w:tcPr>
                <w:p>
                  <w:pPr>
                    <w:adjustRightInd w:val="0"/>
                    <w:snapToGrid w:val="0"/>
                    <w:jc w:val="center"/>
                    <w:rPr>
                      <w:szCs w:val="21"/>
                    </w:rPr>
                  </w:pPr>
                  <w:r>
                    <w:rPr>
                      <w:szCs w:val="21"/>
                    </w:rPr>
                    <w:t>900-0</w:t>
                  </w:r>
                  <w:r>
                    <w:rPr>
                      <w:rFonts w:hint="eastAsia"/>
                      <w:szCs w:val="21"/>
                      <w:lang w:val="en-US" w:eastAsia="zh-CN"/>
                    </w:rPr>
                    <w:t>41</w:t>
                  </w:r>
                  <w:r>
                    <w:rPr>
                      <w:rFonts w:hint="eastAsia"/>
                      <w:szCs w:val="21"/>
                    </w:rPr>
                    <w:t>-49</w:t>
                  </w:r>
                </w:p>
              </w:tc>
              <w:tc>
                <w:tcPr>
                  <w:tcW w:w="780" w:type="dxa"/>
                  <w:noWrap w:val="0"/>
                  <w:vAlign w:val="center"/>
                </w:tcPr>
                <w:p>
                  <w:pPr>
                    <w:pStyle w:val="48"/>
                    <w:adjustRightInd w:val="0"/>
                    <w:snapToGrid w:val="0"/>
                    <w:rPr>
                      <w:rFonts w:hint="default" w:eastAsia="宋体"/>
                      <w:lang w:val="en-US" w:eastAsia="zh-CN"/>
                    </w:rPr>
                  </w:pPr>
                  <w:r>
                    <w:rPr>
                      <w:rFonts w:hint="eastAsia" w:eastAsia="宋体"/>
                      <w:kern w:val="0"/>
                    </w:rPr>
                    <w:t>0.</w:t>
                  </w:r>
                  <w:r>
                    <w:rPr>
                      <w:rFonts w:hint="eastAsia" w:eastAsia="宋体"/>
                      <w:kern w:val="0"/>
                      <w:lang w:val="en-US" w:eastAsia="zh-CN"/>
                    </w:rPr>
                    <w:t>01</w:t>
                  </w:r>
                </w:p>
              </w:tc>
              <w:tc>
                <w:tcPr>
                  <w:tcW w:w="840" w:type="dxa"/>
                  <w:noWrap w:val="0"/>
                  <w:vAlign w:val="center"/>
                </w:tcPr>
                <w:p>
                  <w:pPr>
                    <w:pStyle w:val="56"/>
                    <w:rPr>
                      <w:rFonts w:hint="eastAsia" w:eastAsia="宋体"/>
                      <w:lang w:eastAsia="zh-CN"/>
                    </w:rPr>
                  </w:pPr>
                  <w:r>
                    <w:rPr>
                      <w:rFonts w:hint="eastAsia"/>
                      <w:lang w:val="en-US" w:eastAsia="zh-CN"/>
                    </w:rPr>
                    <w:t>1</w:t>
                  </w:r>
                </w:p>
              </w:tc>
              <w:tc>
                <w:tcPr>
                  <w:tcW w:w="695" w:type="dxa"/>
                  <w:noWrap w:val="0"/>
                  <w:vAlign w:val="center"/>
                </w:tcPr>
                <w:p>
                  <w:pPr>
                    <w:pStyle w:val="56"/>
                    <w:rPr>
                      <w:rFonts w:hint="eastAsia"/>
                    </w:rPr>
                  </w:pPr>
                  <w:r>
                    <w:rPr>
                      <w:rFonts w:hint="eastAsia"/>
                    </w:rPr>
                    <w:t>袋装</w:t>
                  </w:r>
                </w:p>
              </w:tc>
              <w:tc>
                <w:tcPr>
                  <w:tcW w:w="715" w:type="dxa"/>
                  <w:noWrap w:val="0"/>
                  <w:vAlign w:val="center"/>
                </w:tcPr>
                <w:p>
                  <w:pPr>
                    <w:pStyle w:val="56"/>
                    <w:rPr>
                      <w:rFonts w:hint="eastAsia" w:eastAsia="宋体"/>
                      <w:lang w:eastAsia="zh-CN"/>
                    </w:rPr>
                  </w:pPr>
                  <w:r>
                    <w:rPr>
                      <w:rFonts w:hint="eastAsia"/>
                    </w:rPr>
                    <w:t>0.</w:t>
                  </w:r>
                  <w:r>
                    <w:rPr>
                      <w:rFonts w:hint="eastAsia"/>
                      <w:lang w:val="en-US" w:eastAsia="zh-CN"/>
                    </w:rPr>
                    <w:t>2</w:t>
                  </w:r>
                </w:p>
              </w:tc>
              <w:tc>
                <w:tcPr>
                  <w:tcW w:w="791" w:type="dxa"/>
                  <w:noWrap w:val="0"/>
                  <w:vAlign w:val="center"/>
                </w:tcPr>
                <w:p>
                  <w:pPr>
                    <w:pStyle w:val="56"/>
                    <w:rPr>
                      <w:rFonts w:hint="eastAsia"/>
                    </w:rPr>
                  </w:pPr>
                  <w:r>
                    <w:rPr>
                      <w:rFonts w:hint="eastAsia"/>
                    </w:rPr>
                    <w:t>4个月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475" w:type="dxa"/>
                  <w:noWrap w:val="0"/>
                  <w:vAlign w:val="center"/>
                </w:tcPr>
                <w:p>
                  <w:pPr>
                    <w:pStyle w:val="56"/>
                    <w:rPr>
                      <w:rFonts w:hint="eastAsia" w:eastAsia="宋体"/>
                      <w:lang w:val="en-US" w:eastAsia="zh-CN"/>
                    </w:rPr>
                  </w:pPr>
                  <w:r>
                    <w:rPr>
                      <w:rFonts w:hint="eastAsia"/>
                      <w:lang w:val="en-US" w:eastAsia="zh-CN"/>
                    </w:rPr>
                    <w:t>2</w:t>
                  </w:r>
                </w:p>
              </w:tc>
              <w:tc>
                <w:tcPr>
                  <w:tcW w:w="843" w:type="dxa"/>
                  <w:noWrap w:val="0"/>
                  <w:vAlign w:val="center"/>
                </w:tcPr>
                <w:p>
                  <w:pPr>
                    <w:pStyle w:val="48"/>
                    <w:adjustRightInd w:val="0"/>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废液</w:t>
                  </w:r>
                </w:p>
              </w:tc>
              <w:tc>
                <w:tcPr>
                  <w:tcW w:w="1133" w:type="dxa"/>
                  <w:noWrap w:val="0"/>
                  <w:vAlign w:val="center"/>
                </w:tcPr>
                <w:p>
                  <w:pPr>
                    <w:pStyle w:val="48"/>
                    <w:adjustRightInd w:val="0"/>
                    <w:snapToGrid w:val="0"/>
                    <w:rPr>
                      <w:rFonts w:hint="eastAsia"/>
                    </w:rPr>
                  </w:pPr>
                  <w:r>
                    <w:rPr>
                      <w:rFonts w:hint="eastAsia" w:ascii="Times New Roman" w:hAnsi="Times New Roman" w:eastAsia="宋体" w:cs="Times New Roman"/>
                      <w:kern w:val="18"/>
                      <w:sz w:val="21"/>
                      <w:szCs w:val="21"/>
                      <w:lang w:val="en-US" w:eastAsia="zh-CN" w:bidi="ar-SA"/>
                    </w:rPr>
                    <w:t>危险废物仓库</w:t>
                  </w:r>
                </w:p>
              </w:tc>
              <w:tc>
                <w:tcPr>
                  <w:tcW w:w="825" w:type="dxa"/>
                  <w:noWrap w:val="0"/>
                  <w:vAlign w:val="center"/>
                </w:tcPr>
                <w:p>
                  <w:pPr>
                    <w:pStyle w:val="48"/>
                    <w:adjustRightInd w:val="0"/>
                    <w:snapToGrid w:val="0"/>
                    <w:rPr>
                      <w:szCs w:val="21"/>
                    </w:rPr>
                  </w:pPr>
                  <w:r>
                    <w:rPr>
                      <w:rFonts w:hint="eastAsia" w:ascii="Times New Roman" w:hAnsi="Times New Roman" w:eastAsia="宋体" w:cs="Times New Roman"/>
                      <w:lang w:val="en-US" w:eastAsia="zh-CN"/>
                    </w:rPr>
                    <w:t>HW17</w:t>
                  </w:r>
                </w:p>
              </w:tc>
              <w:tc>
                <w:tcPr>
                  <w:tcW w:w="1215" w:type="dxa"/>
                  <w:noWrap w:val="0"/>
                  <w:vAlign w:val="center"/>
                </w:tcPr>
                <w:p>
                  <w:pPr>
                    <w:pStyle w:val="48"/>
                    <w:adjustRightInd w:val="0"/>
                    <w:snapToGrid w:val="0"/>
                    <w:rPr>
                      <w:szCs w:val="21"/>
                    </w:rPr>
                  </w:pPr>
                  <w:r>
                    <w:rPr>
                      <w:rFonts w:hint="eastAsia"/>
                      <w:szCs w:val="21"/>
                    </w:rPr>
                    <w:t>336-064-17</w:t>
                  </w:r>
                </w:p>
              </w:tc>
              <w:tc>
                <w:tcPr>
                  <w:tcW w:w="780" w:type="dxa"/>
                  <w:noWrap w:val="0"/>
                  <w:vAlign w:val="center"/>
                </w:tcPr>
                <w:p>
                  <w:pPr>
                    <w:pStyle w:val="48"/>
                    <w:adjustRightInd w:val="0"/>
                    <w:snapToGrid w:val="0"/>
                    <w:rPr>
                      <w:rFonts w:hint="default" w:eastAsia="宋体"/>
                      <w:kern w:val="0"/>
                      <w:lang w:val="en-US"/>
                    </w:rPr>
                  </w:pPr>
                  <w:r>
                    <w:rPr>
                      <w:rFonts w:hint="eastAsia" w:ascii="Times New Roman" w:hAnsi="Times New Roman" w:eastAsia="宋体" w:cs="Times New Roman"/>
                      <w:lang w:val="en-US" w:eastAsia="zh-CN"/>
                    </w:rPr>
                    <w:t>0.054</w:t>
                  </w:r>
                </w:p>
              </w:tc>
              <w:tc>
                <w:tcPr>
                  <w:tcW w:w="840" w:type="dxa"/>
                  <w:noWrap w:val="0"/>
                  <w:vAlign w:val="center"/>
                </w:tcPr>
                <w:p>
                  <w:pPr>
                    <w:pStyle w:val="56"/>
                    <w:rPr>
                      <w:rFonts w:hint="default"/>
                      <w:lang w:val="en-US" w:eastAsia="zh-CN"/>
                    </w:rPr>
                  </w:pPr>
                  <w:r>
                    <w:rPr>
                      <w:rFonts w:hint="eastAsia"/>
                      <w:lang w:val="en-US" w:eastAsia="zh-CN"/>
                    </w:rPr>
                    <w:t>4</w:t>
                  </w:r>
                </w:p>
              </w:tc>
              <w:tc>
                <w:tcPr>
                  <w:tcW w:w="695" w:type="dxa"/>
                  <w:noWrap w:val="0"/>
                  <w:vAlign w:val="center"/>
                </w:tcPr>
                <w:p>
                  <w:pPr>
                    <w:pStyle w:val="56"/>
                    <w:rPr>
                      <w:rFonts w:hint="eastAsia" w:eastAsia="宋体"/>
                      <w:lang w:val="en-US" w:eastAsia="zh-CN"/>
                    </w:rPr>
                  </w:pPr>
                  <w:r>
                    <w:rPr>
                      <w:rFonts w:hint="eastAsia"/>
                      <w:lang w:val="en-US" w:eastAsia="zh-CN"/>
                    </w:rPr>
                    <w:t>桶装</w:t>
                  </w:r>
                </w:p>
              </w:tc>
              <w:tc>
                <w:tcPr>
                  <w:tcW w:w="715" w:type="dxa"/>
                  <w:noWrap w:val="0"/>
                  <w:vAlign w:val="center"/>
                </w:tcPr>
                <w:p>
                  <w:pPr>
                    <w:pStyle w:val="56"/>
                    <w:rPr>
                      <w:rFonts w:hint="default" w:eastAsia="宋体"/>
                      <w:lang w:val="en-US" w:eastAsia="zh-CN"/>
                    </w:rPr>
                  </w:pPr>
                  <w:r>
                    <w:rPr>
                      <w:rFonts w:hint="eastAsia"/>
                      <w:lang w:val="en-US" w:eastAsia="zh-CN"/>
                    </w:rPr>
                    <w:t>0.5</w:t>
                  </w:r>
                </w:p>
              </w:tc>
              <w:tc>
                <w:tcPr>
                  <w:tcW w:w="791" w:type="dxa"/>
                  <w:noWrap w:val="0"/>
                  <w:vAlign w:val="center"/>
                </w:tcPr>
                <w:p>
                  <w:pPr>
                    <w:pStyle w:val="56"/>
                    <w:rPr>
                      <w:rFonts w:hint="eastAsia"/>
                    </w:rPr>
                  </w:pPr>
                  <w:r>
                    <w:rPr>
                      <w:rFonts w:hint="eastAsia"/>
                    </w:rPr>
                    <w:t>4个月</w:t>
                  </w:r>
                </w:p>
              </w:tc>
            </w:tr>
          </w:tbl>
          <w:p>
            <w:pPr>
              <w:adjustRightInd w:val="0"/>
              <w:snapToGrid w:val="0"/>
              <w:spacing w:before="120" w:beforeLines="50" w:line="360" w:lineRule="auto"/>
              <w:ind w:firstLine="480" w:firstLineChars="200"/>
              <w:rPr>
                <w:rFonts w:hint="eastAsia"/>
                <w:sz w:val="24"/>
                <w:highlight w:val="none"/>
              </w:rPr>
            </w:pPr>
            <w:r>
              <w:rPr>
                <w:rFonts w:hint="eastAsia"/>
                <w:sz w:val="24"/>
                <w:highlight w:val="none"/>
              </w:rPr>
              <w:t>本</w:t>
            </w:r>
            <w:r>
              <w:rPr>
                <w:sz w:val="24"/>
                <w:highlight w:val="none"/>
              </w:rPr>
              <w:t>项目</w:t>
            </w:r>
            <w:r>
              <w:rPr>
                <w:rFonts w:hint="eastAsia"/>
                <w:sz w:val="24"/>
                <w:highlight w:val="none"/>
              </w:rPr>
              <w:t>危险废物委托处理前，贮存于危险废物仓库，位于厂房</w:t>
            </w:r>
            <w:r>
              <w:rPr>
                <w:rFonts w:hint="eastAsia"/>
                <w:sz w:val="24"/>
                <w:highlight w:val="none"/>
                <w:lang w:val="en-US" w:eastAsia="zh-CN"/>
              </w:rPr>
              <w:t>南</w:t>
            </w:r>
            <w:r>
              <w:rPr>
                <w:rFonts w:hint="eastAsia"/>
                <w:sz w:val="24"/>
                <w:highlight w:val="none"/>
              </w:rPr>
              <w:t>部</w:t>
            </w:r>
            <w:r>
              <w:rPr>
                <w:rFonts w:hint="eastAsia"/>
                <w:sz w:val="24"/>
                <w:highlight w:val="none"/>
                <w:lang w:val="en-US" w:eastAsia="zh-CN"/>
              </w:rPr>
              <w:t>东侧</w:t>
            </w:r>
            <w:r>
              <w:rPr>
                <w:rFonts w:hint="eastAsia"/>
                <w:sz w:val="24"/>
                <w:highlight w:val="none"/>
              </w:rPr>
              <w:t>，危险废物储存区占地面积约</w:t>
            </w:r>
            <w:r>
              <w:rPr>
                <w:rFonts w:hint="eastAsia"/>
                <w:sz w:val="24"/>
                <w:highlight w:val="none"/>
                <w:lang w:val="en-US" w:eastAsia="zh-CN"/>
              </w:rPr>
              <w:t>10</w:t>
            </w:r>
            <w:r>
              <w:rPr>
                <w:rFonts w:hint="eastAsia"/>
                <w:sz w:val="24"/>
                <w:highlight w:val="none"/>
              </w:rPr>
              <w:t>m</w:t>
            </w:r>
            <w:r>
              <w:rPr>
                <w:rFonts w:hint="eastAsia"/>
                <w:sz w:val="24"/>
                <w:highlight w:val="none"/>
                <w:vertAlign w:val="superscript"/>
              </w:rPr>
              <w:t>2</w:t>
            </w:r>
            <w:r>
              <w:rPr>
                <w:rFonts w:hint="eastAsia"/>
                <w:sz w:val="24"/>
                <w:highlight w:val="none"/>
              </w:rPr>
              <w:t>，项目合计共需暂存面积约为</w:t>
            </w:r>
            <w:r>
              <w:rPr>
                <w:rFonts w:hint="eastAsia"/>
                <w:sz w:val="24"/>
                <w:highlight w:val="none"/>
                <w:lang w:val="en-US" w:eastAsia="zh-CN"/>
              </w:rPr>
              <w:t>5</w:t>
            </w:r>
            <w:r>
              <w:rPr>
                <w:sz w:val="24"/>
                <w:highlight w:val="none"/>
              </w:rPr>
              <w:t>m</w:t>
            </w:r>
            <w:r>
              <w:rPr>
                <w:sz w:val="24"/>
                <w:highlight w:val="none"/>
                <w:vertAlign w:val="superscript"/>
              </w:rPr>
              <w:t>2</w:t>
            </w:r>
            <w:r>
              <w:rPr>
                <w:rFonts w:hint="eastAsia"/>
                <w:sz w:val="24"/>
                <w:highlight w:val="none"/>
              </w:rPr>
              <w:t>，考虑到运输通道，因此企业设置的</w:t>
            </w:r>
            <w:r>
              <w:rPr>
                <w:rFonts w:hint="eastAsia"/>
                <w:sz w:val="24"/>
                <w:highlight w:val="none"/>
                <w:lang w:val="en-US" w:eastAsia="zh-CN"/>
              </w:rPr>
              <w:t>10</w:t>
            </w:r>
            <w:r>
              <w:rPr>
                <w:sz w:val="24"/>
                <w:highlight w:val="none"/>
              </w:rPr>
              <w:t>m</w:t>
            </w:r>
            <w:r>
              <w:rPr>
                <w:sz w:val="24"/>
                <w:highlight w:val="none"/>
                <w:vertAlign w:val="superscript"/>
              </w:rPr>
              <w:t>2</w:t>
            </w:r>
            <w:r>
              <w:rPr>
                <w:rFonts w:hint="eastAsia"/>
                <w:sz w:val="24"/>
                <w:highlight w:val="none"/>
              </w:rPr>
              <w:t>危险废物仓库，可以满足危险废物贮存的要求。</w:t>
            </w:r>
          </w:p>
          <w:p>
            <w:pPr>
              <w:adjustRightInd w:val="0"/>
              <w:snapToGrid w:val="0"/>
              <w:spacing w:line="360" w:lineRule="auto"/>
              <w:ind w:firstLine="480" w:firstLineChars="200"/>
              <w:rPr>
                <w:rFonts w:hint="eastAsia"/>
                <w:sz w:val="24"/>
                <w:highlight w:val="none"/>
              </w:rPr>
            </w:pPr>
            <w:r>
              <w:rPr>
                <w:rFonts w:hint="eastAsia"/>
                <w:sz w:val="24"/>
                <w:highlight w:val="none"/>
              </w:rPr>
              <w:t>本项目危废仓库设置相关危险废物识别的标志，建立危废管理档案、台账，合法、安全、规范处置危废。因此本项目所有固体废物均可实现分类收集贮存，对环境的影响具有可控性。</w:t>
            </w:r>
          </w:p>
          <w:p>
            <w:pPr>
              <w:adjustRightInd w:val="0"/>
              <w:snapToGrid w:val="0"/>
              <w:spacing w:line="360" w:lineRule="auto"/>
              <w:ind w:firstLine="482" w:firstLineChars="200"/>
              <w:rPr>
                <w:rFonts w:hint="eastAsia"/>
                <w:b/>
                <w:bCs/>
                <w:sz w:val="24"/>
              </w:rPr>
            </w:pPr>
            <w:r>
              <w:rPr>
                <w:rFonts w:hint="eastAsia"/>
                <w:b/>
                <w:bCs/>
                <w:sz w:val="24"/>
              </w:rPr>
              <w:t>②危险废物贮存场所设计要求</w:t>
            </w:r>
          </w:p>
          <w:p>
            <w:pPr>
              <w:adjustRightInd w:val="0"/>
              <w:snapToGrid w:val="0"/>
              <w:spacing w:line="360" w:lineRule="auto"/>
              <w:ind w:firstLine="480" w:firstLineChars="200"/>
              <w:rPr>
                <w:sz w:val="24"/>
              </w:rPr>
            </w:pPr>
            <w:r>
              <w:rPr>
                <w:rFonts w:hint="eastAsia"/>
                <w:sz w:val="24"/>
              </w:rPr>
              <w:t>根据《省生态环境厅关于进一步加强危险废物污染防治工作的实施意见》（苏环办[2019]327号），本项目危废仓库应做到以下要求：</w:t>
            </w:r>
          </w:p>
          <w:p>
            <w:pPr>
              <w:adjustRightInd w:val="0"/>
              <w:snapToGrid w:val="0"/>
              <w:spacing w:line="360" w:lineRule="auto"/>
              <w:ind w:firstLine="480" w:firstLineChars="200"/>
              <w:rPr>
                <w:rFonts w:hint="eastAsia"/>
                <w:sz w:val="24"/>
              </w:rPr>
            </w:pPr>
            <w:r>
              <w:rPr>
                <w:rFonts w:hint="eastAsia"/>
                <w:sz w:val="24"/>
              </w:rPr>
              <w:t>I）地面要用坚固、防渗的材料建造，建筑材料必须与危险废物相容。</w:t>
            </w:r>
          </w:p>
          <w:p>
            <w:pPr>
              <w:adjustRightInd w:val="0"/>
              <w:snapToGrid w:val="0"/>
              <w:spacing w:line="360" w:lineRule="auto"/>
              <w:ind w:firstLine="480" w:firstLineChars="200"/>
              <w:rPr>
                <w:rFonts w:hint="eastAsia"/>
                <w:sz w:val="24"/>
              </w:rPr>
            </w:pPr>
            <w:r>
              <w:rPr>
                <w:rFonts w:hint="eastAsia"/>
                <w:sz w:val="24"/>
              </w:rPr>
              <w:t>II）用于存放装载固体危险废物容器的地方，必须有耐腐蚀及防渗的硬化地面，且表面无裂隙。</w:t>
            </w:r>
          </w:p>
          <w:p>
            <w:pPr>
              <w:adjustRightInd w:val="0"/>
              <w:snapToGrid w:val="0"/>
              <w:spacing w:line="360" w:lineRule="auto"/>
              <w:ind w:firstLine="480" w:firstLineChars="200"/>
              <w:rPr>
                <w:rFonts w:hint="eastAsia"/>
                <w:sz w:val="24"/>
              </w:rPr>
            </w:pPr>
            <w:r>
              <w:rPr>
                <w:rFonts w:hint="eastAsia"/>
                <w:sz w:val="24"/>
              </w:rPr>
              <w:t>III）不相容的危险废物必须分开存放，不得混放，并设有隔断及搬运通道。根据危废的种类，危废收集后要及时综合利用或安全处置，尽量减少在厂内暂存时间，以减少贮存风险：</w:t>
            </w:r>
          </w:p>
          <w:p>
            <w:pPr>
              <w:adjustRightInd w:val="0"/>
              <w:snapToGrid w:val="0"/>
              <w:spacing w:line="360" w:lineRule="auto"/>
              <w:ind w:firstLine="480" w:firstLineChars="200"/>
              <w:rPr>
                <w:rFonts w:hint="eastAsia"/>
                <w:sz w:val="24"/>
              </w:rPr>
            </w:pPr>
            <w:r>
              <w:rPr>
                <w:rFonts w:hint="eastAsia"/>
                <w:sz w:val="24"/>
              </w:rPr>
              <w:t>IV）应保持阴凉、通风、严禁火种；根据危险废物的种类和特性进行分区、分类贮存，设置防雨、防火、防雷、防扬散、防渗漏装置及泄漏液体收集装置。对易爆、易燃及排出有毒气体的危险废物进行预处理，稳定后贮存，否则按易爆、易燃危险品贮存。</w:t>
            </w:r>
          </w:p>
          <w:p>
            <w:pPr>
              <w:adjustRightInd w:val="0"/>
              <w:snapToGrid w:val="0"/>
              <w:spacing w:line="360" w:lineRule="auto"/>
              <w:ind w:firstLine="480" w:firstLineChars="200"/>
              <w:rPr>
                <w:rFonts w:hint="eastAsia"/>
                <w:sz w:val="24"/>
              </w:rPr>
            </w:pPr>
            <w:r>
              <w:rPr>
                <w:rFonts w:hint="eastAsia"/>
                <w:sz w:val="24"/>
              </w:rPr>
              <w:t>V）危险废物仓库由专人管理，禁止将危险废物以任何形式转移给无资质的单位，或转移到非危险废物贮存设施中。定期对贮存危险废物的包装容器及贮存设施进行检查，发现破损应及时采取措施清理更换。</w:t>
            </w:r>
          </w:p>
          <w:p>
            <w:pPr>
              <w:adjustRightInd w:val="0"/>
              <w:snapToGrid w:val="0"/>
              <w:spacing w:line="360" w:lineRule="auto"/>
              <w:ind w:firstLine="480" w:firstLineChars="200"/>
              <w:rPr>
                <w:sz w:val="24"/>
              </w:rPr>
            </w:pPr>
            <w:r>
              <w:rPr>
                <w:rFonts w:hint="eastAsia"/>
                <w:sz w:val="24"/>
              </w:rPr>
              <w:t>VI）按照《环境保护图形标志固体废物贮存（处置）场》（GB15562.2-1995）设置标志，配备通讯设备、照明设施和消防设施，设置气体导出口及气体净化装置，确保废气达标排放；在出入口、设施内部、危险废物运输车辆通道等关键位置按照危险废物贮存设施视频监控布设要求设置视频监控，并与中控室联网。</w:t>
            </w:r>
          </w:p>
          <w:bookmarkEnd w:id="9"/>
          <w:p>
            <w:pPr>
              <w:adjustRightInd w:val="0"/>
              <w:snapToGrid w:val="0"/>
              <w:spacing w:line="360" w:lineRule="auto"/>
              <w:ind w:firstLine="482" w:firstLineChars="200"/>
              <w:rPr>
                <w:rFonts w:hint="eastAsia"/>
                <w:b/>
                <w:bCs/>
                <w:sz w:val="24"/>
              </w:rPr>
            </w:pPr>
            <w:r>
              <w:rPr>
                <w:rFonts w:hint="eastAsia"/>
                <w:b/>
                <w:bCs/>
                <w:sz w:val="24"/>
              </w:rPr>
              <w:t>③危险废物运输过程污染防治措施</w:t>
            </w:r>
          </w:p>
          <w:p>
            <w:pPr>
              <w:pStyle w:val="65"/>
              <w:adjustRightInd w:val="0"/>
              <w:snapToGrid w:val="0"/>
              <w:ind w:firstLine="480"/>
              <w:jc w:val="both"/>
            </w:pPr>
            <w:r>
              <w:rPr>
                <w:rFonts w:hint="eastAsia"/>
              </w:rPr>
              <w:t>危险</w:t>
            </w:r>
            <w:r>
              <w:t>废物运输过程中如果发生散落、泄漏，容易腐化设备、产生恶臭，污染运输沿途环境，若下渗或泄漏进入土壤或地下水，将会造成局部土壤和地下水的污染，因此在运输过程中应按照相关规范加强管理。</w:t>
            </w:r>
            <w:r>
              <w:rPr>
                <w:rFonts w:hint="eastAsia"/>
              </w:rPr>
              <w:t>根据《省生态厅关于进一步加强危险废物污染防治工作的实施意见》（苏环办[2019]327号）要求，项目需按照《环境保护图形标志固体废物贮存（处置）场》（GB15562.2-1995）和危险废物识别标识设置规范设置标志，配备通讯设备、照明设施和消防设施；在出入口、设施内部、危险废物运输车辆通道等关键位置按照危险废物贮存设施视频监控布设要求设置视频监控，并与中控室联网</w:t>
            </w:r>
            <w:r>
              <w:t>。</w:t>
            </w:r>
          </w:p>
          <w:p>
            <w:pPr>
              <w:autoSpaceDE w:val="0"/>
              <w:autoSpaceDN w:val="0"/>
              <w:adjustRightInd w:val="0"/>
              <w:spacing w:line="360" w:lineRule="auto"/>
              <w:ind w:firstLine="480" w:firstLineChars="200"/>
              <w:rPr>
                <w:sz w:val="24"/>
              </w:rPr>
            </w:pPr>
            <w:r>
              <w:rPr>
                <w:rFonts w:hint="eastAsia"/>
                <w:sz w:val="24"/>
              </w:rPr>
              <w:t>危险废物运输必须按照《危险废物收集 贮存 运输技术规范》（HJ2025-2012）的要求并做到以下几点：</w:t>
            </w:r>
          </w:p>
          <w:p>
            <w:pPr>
              <w:autoSpaceDE w:val="0"/>
              <w:autoSpaceDN w:val="0"/>
              <w:adjustRightInd w:val="0"/>
              <w:spacing w:line="360" w:lineRule="auto"/>
              <w:ind w:firstLine="480" w:firstLineChars="200"/>
              <w:rPr>
                <w:sz w:val="24"/>
              </w:rPr>
            </w:pPr>
            <w:r>
              <w:rPr>
                <w:sz w:val="24"/>
              </w:rPr>
              <w:t>I）危险废物运输应由持有危险废物经营许可证的单位按照其许可证的经营范围组织实施，承担危险废物运输的单位应获得交通运输部门颁发的危险货物运输资质。</w:t>
            </w:r>
          </w:p>
          <w:p>
            <w:pPr>
              <w:autoSpaceDE w:val="0"/>
              <w:autoSpaceDN w:val="0"/>
              <w:adjustRightInd w:val="0"/>
              <w:spacing w:line="360" w:lineRule="auto"/>
              <w:ind w:firstLine="480" w:firstLineChars="200"/>
              <w:rPr>
                <w:sz w:val="24"/>
              </w:rPr>
            </w:pPr>
            <w:r>
              <w:rPr>
                <w:rFonts w:hint="eastAsia"/>
                <w:sz w:val="24"/>
              </w:rPr>
              <w:t>II）</w:t>
            </w:r>
            <w:r>
              <w:rPr>
                <w:sz w:val="24"/>
              </w:rPr>
              <w:t>危险废物公路运输应按照《道路危险货物运输管理规定》（交通部令[2015年]第9号）、JT617以及JT618执行。</w:t>
            </w:r>
          </w:p>
          <w:p>
            <w:pPr>
              <w:autoSpaceDE w:val="0"/>
              <w:autoSpaceDN w:val="0"/>
              <w:adjustRightInd w:val="0"/>
              <w:spacing w:line="360" w:lineRule="auto"/>
              <w:ind w:firstLine="480" w:firstLineChars="200"/>
              <w:rPr>
                <w:sz w:val="24"/>
              </w:rPr>
            </w:pPr>
            <w:r>
              <w:rPr>
                <w:rFonts w:hint="eastAsia"/>
                <w:sz w:val="24"/>
              </w:rPr>
              <w:t>III）</w:t>
            </w:r>
            <w:r>
              <w:rPr>
                <w:sz w:val="24"/>
              </w:rPr>
              <w:t>运输单位在承运危险废物时，应在危险废物包装上按照GB18597附录A 设置标志。</w:t>
            </w:r>
          </w:p>
          <w:p>
            <w:pPr>
              <w:autoSpaceDE w:val="0"/>
              <w:autoSpaceDN w:val="0"/>
              <w:adjustRightInd w:val="0"/>
              <w:spacing w:line="360" w:lineRule="auto"/>
              <w:ind w:firstLine="480" w:firstLineChars="200"/>
              <w:rPr>
                <w:sz w:val="24"/>
              </w:rPr>
            </w:pPr>
            <w:r>
              <w:rPr>
                <w:rFonts w:hint="eastAsia"/>
                <w:sz w:val="24"/>
              </w:rPr>
              <w:t>IV）</w:t>
            </w:r>
            <w:r>
              <w:rPr>
                <w:sz w:val="24"/>
              </w:rPr>
              <w:t>危险废物公路运输时，运输车辆按GB13392设置车辆标志。铁路运输和水路运输危险废物时应在集装箱外按GB190规定悬挂标志。</w:t>
            </w:r>
          </w:p>
          <w:p>
            <w:pPr>
              <w:autoSpaceDE w:val="0"/>
              <w:autoSpaceDN w:val="0"/>
              <w:adjustRightInd w:val="0"/>
              <w:spacing w:line="360" w:lineRule="auto"/>
              <w:ind w:firstLine="480" w:firstLineChars="200"/>
              <w:rPr>
                <w:sz w:val="24"/>
              </w:rPr>
            </w:pPr>
            <w:r>
              <w:rPr>
                <w:rFonts w:hint="eastAsia"/>
                <w:sz w:val="24"/>
              </w:rPr>
              <w:t>V）</w:t>
            </w:r>
            <w:r>
              <w:rPr>
                <w:sz w:val="24"/>
              </w:rPr>
              <w:t>危险废物运输时的中转、装卸过程应遵守如下技术要求：装卸</w:t>
            </w:r>
            <w:r>
              <w:rPr>
                <w:rFonts w:hint="eastAsia"/>
                <w:sz w:val="24"/>
              </w:rPr>
              <w:t>区的工作人员应熟悉废物的危险特性，并配备适当的个人防护装备，装卸剧毒废物应配备特殊的防护装备；装卸区应配备必要的消防设备和设施，并设置明显的指示标志；危险废物装卸区应设置隔离设施，液态废物装卸区应设置收集槽和缓冲罐。</w:t>
            </w:r>
          </w:p>
          <w:p>
            <w:pPr>
              <w:adjustRightInd w:val="0"/>
              <w:snapToGrid w:val="0"/>
              <w:spacing w:line="360" w:lineRule="auto"/>
              <w:ind w:firstLine="482" w:firstLineChars="200"/>
              <w:rPr>
                <w:rFonts w:hint="eastAsia"/>
                <w:b/>
                <w:bCs/>
                <w:sz w:val="24"/>
              </w:rPr>
            </w:pPr>
            <w:r>
              <w:rPr>
                <w:rFonts w:hint="eastAsia"/>
                <w:b/>
                <w:bCs/>
                <w:sz w:val="24"/>
              </w:rPr>
              <w:t>④危险废物管理要求</w:t>
            </w:r>
          </w:p>
          <w:p>
            <w:pPr>
              <w:adjustRightInd w:val="0"/>
              <w:snapToGrid w:val="0"/>
              <w:spacing w:line="360" w:lineRule="auto"/>
              <w:ind w:firstLine="480" w:firstLineChars="200"/>
              <w:rPr>
                <w:rFonts w:hint="eastAsia"/>
                <w:kern w:val="0"/>
                <w:sz w:val="24"/>
              </w:rPr>
            </w:pPr>
            <w:r>
              <w:rPr>
                <w:rFonts w:hint="eastAsia"/>
                <w:kern w:val="0"/>
                <w:sz w:val="24"/>
              </w:rPr>
              <w:t>I）危险废物的管理执行《危险废物贮存污染控制标准》（GB18597-2001）、</w:t>
            </w:r>
            <w:r>
              <w:rPr>
                <w:rFonts w:hint="eastAsia"/>
                <w:sz w:val="24"/>
              </w:rPr>
              <w:t>《省生态环境厅关于进一步加强危险废物污染防治工作的实施意见》（苏环办[2019]327号）及《省生态环境厅关于印发江苏省危险废物贮存规范化管理专项整治行动方案的通知》（苏环办[2019]149号）</w:t>
            </w:r>
            <w:r>
              <w:rPr>
                <w:rFonts w:hint="eastAsia"/>
                <w:kern w:val="0"/>
                <w:sz w:val="24"/>
              </w:rPr>
              <w:t>中相关规定；</w:t>
            </w:r>
          </w:p>
          <w:p>
            <w:pPr>
              <w:adjustRightInd w:val="0"/>
              <w:snapToGrid w:val="0"/>
              <w:spacing w:line="360" w:lineRule="auto"/>
              <w:ind w:firstLine="480" w:firstLineChars="200"/>
              <w:rPr>
                <w:kern w:val="0"/>
                <w:sz w:val="24"/>
              </w:rPr>
            </w:pPr>
            <w:r>
              <w:rPr>
                <w:rFonts w:hint="eastAsia"/>
                <w:kern w:val="0"/>
                <w:sz w:val="24"/>
              </w:rPr>
              <w:t>II）危废的暂存防范措施</w:t>
            </w:r>
          </w:p>
          <w:p>
            <w:pPr>
              <w:adjustRightInd w:val="0"/>
              <w:snapToGrid w:val="0"/>
              <w:spacing w:line="360" w:lineRule="auto"/>
              <w:ind w:firstLine="480" w:firstLineChars="200"/>
              <w:rPr>
                <w:rFonts w:hint="eastAsia"/>
                <w:kern w:val="0"/>
                <w:sz w:val="24"/>
              </w:rPr>
            </w:pPr>
            <w:r>
              <w:rPr>
                <w:kern w:val="0"/>
                <w:sz w:val="24"/>
              </w:rPr>
              <w:t>A</w:t>
            </w:r>
            <w:r>
              <w:rPr>
                <w:rFonts w:hint="eastAsia"/>
                <w:kern w:val="0"/>
                <w:sz w:val="24"/>
              </w:rPr>
              <w:t>.采取室内贮存方式，设置环境保护图形标志和警示标志；</w:t>
            </w:r>
          </w:p>
          <w:p>
            <w:pPr>
              <w:adjustRightInd w:val="0"/>
              <w:snapToGrid w:val="0"/>
              <w:spacing w:line="360" w:lineRule="auto"/>
              <w:ind w:firstLine="480" w:firstLineChars="200"/>
              <w:rPr>
                <w:kern w:val="0"/>
                <w:sz w:val="24"/>
              </w:rPr>
            </w:pPr>
            <w:r>
              <w:rPr>
                <w:kern w:val="0"/>
                <w:sz w:val="24"/>
              </w:rPr>
              <w:t>B</w:t>
            </w:r>
            <w:r>
              <w:rPr>
                <w:rFonts w:hint="eastAsia"/>
                <w:kern w:val="0"/>
                <w:sz w:val="24"/>
              </w:rPr>
              <w:t>.按类别放入相应的容器内，不同的危险废物分开存放并设有隔离间隔断；</w:t>
            </w:r>
          </w:p>
          <w:p>
            <w:pPr>
              <w:adjustRightInd w:val="0"/>
              <w:snapToGrid w:val="0"/>
              <w:spacing w:line="360" w:lineRule="auto"/>
              <w:ind w:firstLine="480" w:firstLineChars="200"/>
              <w:rPr>
                <w:rFonts w:hint="eastAsia"/>
                <w:kern w:val="0"/>
                <w:sz w:val="24"/>
              </w:rPr>
            </w:pPr>
            <w:r>
              <w:rPr>
                <w:rFonts w:hint="eastAsia"/>
                <w:kern w:val="0"/>
                <w:sz w:val="24"/>
              </w:rPr>
              <w:t>C.危险废物暂存设施为封闭砖混构筑物，室内四周设置围堰、导流沟，具有防雨、防风、防晒、防渗漏、防腐蚀、防盗措施等。室内地面为水泥地，具有耐腐蚀性，基础设置至少1m厚粘</w:t>
            </w:r>
            <w:r>
              <w:rPr>
                <w:kern w:val="0"/>
                <w:sz w:val="24"/>
              </w:rPr>
              <w:t>土层（渗透系数≤10</w:t>
            </w:r>
            <w:r>
              <w:rPr>
                <w:kern w:val="0"/>
                <w:sz w:val="24"/>
                <w:vertAlign w:val="superscript"/>
              </w:rPr>
              <w:t>-7</w:t>
            </w:r>
            <w:r>
              <w:rPr>
                <w:kern w:val="0"/>
                <w:sz w:val="24"/>
              </w:rPr>
              <w:t>cm/s），或2mm厚高密度聚乙烯，或至少2mm厚的其他人工材料，渗透系数≤10</w:t>
            </w:r>
            <w:r>
              <w:rPr>
                <w:kern w:val="0"/>
                <w:sz w:val="24"/>
                <w:vertAlign w:val="superscript"/>
              </w:rPr>
              <w:t>-10</w:t>
            </w:r>
            <w:r>
              <w:rPr>
                <w:kern w:val="0"/>
                <w:sz w:val="24"/>
              </w:rPr>
              <w:t>cm/s</w:t>
            </w:r>
            <w:r>
              <w:rPr>
                <w:rFonts w:hint="eastAsia"/>
                <w:kern w:val="0"/>
                <w:sz w:val="24"/>
              </w:rPr>
              <w:t>；</w:t>
            </w:r>
          </w:p>
          <w:p>
            <w:pPr>
              <w:adjustRightInd w:val="0"/>
              <w:snapToGrid w:val="0"/>
              <w:spacing w:line="360" w:lineRule="auto"/>
              <w:ind w:firstLine="480" w:firstLineChars="200"/>
              <w:rPr>
                <w:kern w:val="0"/>
                <w:sz w:val="24"/>
              </w:rPr>
            </w:pPr>
            <w:r>
              <w:rPr>
                <w:rFonts w:hint="eastAsia"/>
                <w:kern w:val="0"/>
                <w:sz w:val="24"/>
              </w:rPr>
              <w:t>D.建立档案制度，对暂存的废物种类、数量、特性、包装容器类别、存放库位、存入日期、运出日期等详细记录在案并长期保存；</w:t>
            </w:r>
          </w:p>
          <w:p>
            <w:pPr>
              <w:adjustRightInd w:val="0"/>
              <w:snapToGrid w:val="0"/>
              <w:spacing w:line="360" w:lineRule="auto"/>
              <w:ind w:firstLine="480" w:firstLineChars="200"/>
              <w:rPr>
                <w:rFonts w:hint="eastAsia"/>
                <w:kern w:val="0"/>
                <w:sz w:val="24"/>
              </w:rPr>
            </w:pPr>
            <w:r>
              <w:rPr>
                <w:rFonts w:hint="eastAsia"/>
                <w:kern w:val="0"/>
                <w:sz w:val="24"/>
              </w:rPr>
              <w:t>E.建设单位危废进行暂存的时间不得超过一年；危险废物产生单位应按规定申报危险废物产生、贮存、转移、利用处置等信息，制定危险废物年度管理计划，并在“江苏省危险废物动态管理信息系统”中备案。</w:t>
            </w:r>
          </w:p>
          <w:p>
            <w:pPr>
              <w:adjustRightInd w:val="0"/>
              <w:snapToGrid w:val="0"/>
              <w:spacing w:line="360" w:lineRule="auto"/>
              <w:ind w:firstLine="480" w:firstLineChars="200"/>
              <w:rPr>
                <w:rFonts w:hint="eastAsia"/>
                <w:kern w:val="0"/>
                <w:sz w:val="24"/>
              </w:rPr>
            </w:pPr>
            <w:r>
              <w:rPr>
                <w:rFonts w:hint="eastAsia"/>
                <w:kern w:val="0"/>
                <w:sz w:val="24"/>
              </w:rPr>
              <w:t>F.加大企业危险废物信息公开力度，</w:t>
            </w:r>
            <w:bookmarkStart w:id="10" w:name="_Hlk18440280"/>
            <w:r>
              <w:rPr>
                <w:rFonts w:hint="eastAsia"/>
                <w:kern w:val="0"/>
                <w:sz w:val="24"/>
              </w:rPr>
              <w:t>在厂区门口显著位置设置危险废物信息公开栏，主动公开危险废物产生、利用处置等情况；企业有官方网站的，在官网上同时公开相关信息</w:t>
            </w:r>
            <w:bookmarkEnd w:id="10"/>
            <w:r>
              <w:rPr>
                <w:rFonts w:hint="eastAsia"/>
                <w:kern w:val="0"/>
                <w:sz w:val="24"/>
              </w:rPr>
              <w:t>。</w:t>
            </w:r>
          </w:p>
          <w:p>
            <w:pPr>
              <w:adjustRightInd w:val="0"/>
              <w:snapToGrid w:val="0"/>
              <w:spacing w:line="360" w:lineRule="auto"/>
              <w:ind w:firstLine="480" w:firstLineChars="200"/>
              <w:rPr>
                <w:rFonts w:hint="eastAsia"/>
                <w:kern w:val="0"/>
                <w:sz w:val="24"/>
              </w:rPr>
            </w:pPr>
            <w:r>
              <w:rPr>
                <w:rFonts w:hint="eastAsia"/>
                <w:kern w:val="0"/>
                <w:sz w:val="24"/>
              </w:rPr>
              <w:t>G.危险废物产生、经营企业在省内转移时要选择有资质并能利用“电子运单管理系统”进行信息比对的危险货物道路运输企业承运危险废物，建立和执行危险废物发货、装载和接收的查验、登记、核准制度，对未实行电子运单而发货、装载或接收的单位，要督促其限期整改。加强危险废物流向监控，建立电子档案，严厉打击危险废物转移过程中的环境违法行为。</w:t>
            </w:r>
          </w:p>
          <w:p>
            <w:pPr>
              <w:adjustRightInd w:val="0"/>
              <w:snapToGrid w:val="0"/>
              <w:spacing w:line="360" w:lineRule="auto"/>
              <w:ind w:firstLine="482" w:firstLineChars="200"/>
              <w:rPr>
                <w:b/>
                <w:bCs/>
                <w:sz w:val="24"/>
              </w:rPr>
            </w:pPr>
            <w:r>
              <w:rPr>
                <w:rFonts w:hint="eastAsia"/>
                <w:b/>
                <w:bCs/>
                <w:sz w:val="24"/>
              </w:rPr>
              <w:t>2）一般固体废物污染防治措施</w:t>
            </w:r>
          </w:p>
          <w:p>
            <w:pPr>
              <w:adjustRightInd w:val="0"/>
              <w:snapToGrid w:val="0"/>
              <w:spacing w:line="360" w:lineRule="auto"/>
              <w:ind w:firstLine="480" w:firstLineChars="200"/>
              <w:rPr>
                <w:kern w:val="0"/>
                <w:sz w:val="24"/>
              </w:rPr>
            </w:pPr>
            <w:r>
              <w:rPr>
                <w:rFonts w:hint="eastAsia"/>
                <w:kern w:val="0"/>
                <w:sz w:val="24"/>
              </w:rPr>
              <w:t>①严格执行</w:t>
            </w:r>
            <w:r>
              <w:rPr>
                <w:rFonts w:hint="eastAsia"/>
                <w:sz w:val="24"/>
              </w:rPr>
              <w:t>《一般工业固体废物贮存和填埋污染控制标准》（GB18599-2020）</w:t>
            </w:r>
            <w:r>
              <w:rPr>
                <w:rFonts w:hint="eastAsia"/>
                <w:kern w:val="0"/>
                <w:sz w:val="24"/>
              </w:rPr>
              <w:t>、《环境保护图形标志—固体废物贮存（处置场）》（GB15562.2-1995）等国家污染物控制标准修改单的公告（环境保护部公告2013年第36号）等规定要求，对固体废物实行分类收集，选择满足要求的容器进行包装贮存；</w:t>
            </w:r>
          </w:p>
          <w:p>
            <w:pPr>
              <w:adjustRightInd w:val="0"/>
              <w:snapToGrid w:val="0"/>
              <w:spacing w:line="360" w:lineRule="auto"/>
              <w:ind w:firstLine="480" w:firstLineChars="200"/>
              <w:rPr>
                <w:kern w:val="0"/>
                <w:sz w:val="24"/>
              </w:rPr>
            </w:pPr>
            <w:r>
              <w:rPr>
                <w:rFonts w:hint="eastAsia"/>
                <w:kern w:val="0"/>
                <w:sz w:val="24"/>
              </w:rPr>
              <w:t>②对固体废物实行从产生、收集、运输、贮存直至最终处理实行全过程管理，按照有关法律、法规的要求，对固体废弃物全过程管理应报当地环保行政主管部门等批准；</w:t>
            </w:r>
          </w:p>
          <w:p>
            <w:pPr>
              <w:adjustRightInd w:val="0"/>
              <w:snapToGrid w:val="0"/>
              <w:spacing w:line="360" w:lineRule="auto"/>
              <w:ind w:firstLine="480" w:firstLineChars="200"/>
              <w:rPr>
                <w:rFonts w:hint="eastAsia"/>
                <w:kern w:val="0"/>
                <w:sz w:val="24"/>
              </w:rPr>
            </w:pPr>
            <w:r>
              <w:rPr>
                <w:rFonts w:hint="eastAsia"/>
                <w:kern w:val="0"/>
                <w:sz w:val="24"/>
              </w:rPr>
              <w:t>③加强固体废物规范化管理，固体废物分类定点堆放，堆放场所远离办公区和周围环境敏感点。</w:t>
            </w:r>
          </w:p>
          <w:p>
            <w:pPr>
              <w:adjustRightInd w:val="0"/>
              <w:snapToGrid w:val="0"/>
              <w:spacing w:line="360" w:lineRule="auto"/>
              <w:ind w:firstLine="480" w:firstLineChars="200"/>
              <w:rPr>
                <w:kern w:val="0"/>
                <w:sz w:val="24"/>
              </w:rPr>
            </w:pPr>
            <w:r>
              <w:rPr>
                <w:rFonts w:hint="eastAsia"/>
                <w:kern w:val="0"/>
                <w:sz w:val="24"/>
              </w:rPr>
              <w:t>④固体废物及时清运，避免产生二次污染；</w:t>
            </w:r>
          </w:p>
          <w:p>
            <w:pPr>
              <w:adjustRightInd w:val="0"/>
              <w:snapToGrid w:val="0"/>
              <w:spacing w:line="360" w:lineRule="auto"/>
              <w:ind w:firstLine="480" w:firstLineChars="200"/>
              <w:rPr>
                <w:rFonts w:hint="eastAsia"/>
                <w:kern w:val="0"/>
                <w:sz w:val="24"/>
              </w:rPr>
            </w:pPr>
            <w:r>
              <w:rPr>
                <w:rFonts w:hint="eastAsia"/>
                <w:kern w:val="0"/>
                <w:sz w:val="24"/>
              </w:rPr>
              <w:t>⑤固体废物运输过程中应做到密闭运输，防治固废的泄漏，减少污染。</w:t>
            </w:r>
          </w:p>
          <w:p>
            <w:pPr>
              <w:pStyle w:val="40"/>
              <w:spacing w:line="360" w:lineRule="auto"/>
              <w:ind w:firstLine="482"/>
              <w:rPr>
                <w:rFonts w:hint="eastAsia" w:eastAsia="宋体"/>
                <w:b/>
                <w:bCs/>
              </w:rPr>
            </w:pPr>
            <w:r>
              <w:rPr>
                <w:rFonts w:hint="eastAsia" w:eastAsia="宋体"/>
                <w:b/>
                <w:bCs/>
              </w:rPr>
              <w:t>3）生活垃圾污染防治措施</w:t>
            </w:r>
          </w:p>
          <w:p>
            <w:pPr>
              <w:spacing w:line="360" w:lineRule="auto"/>
              <w:ind w:firstLine="480" w:firstLineChars="200"/>
              <w:rPr>
                <w:sz w:val="24"/>
              </w:rPr>
            </w:pPr>
            <w:r>
              <w:rPr>
                <w:sz w:val="24"/>
              </w:rPr>
              <w:t>厂内设置垃圾桶若干，</w:t>
            </w:r>
            <w:r>
              <w:rPr>
                <w:rFonts w:hint="eastAsia"/>
                <w:sz w:val="24"/>
              </w:rPr>
              <w:t>员工</w:t>
            </w:r>
            <w:r>
              <w:rPr>
                <w:sz w:val="24"/>
              </w:rPr>
              <w:t>生活垃圾由环卫部门定期清运，可得到有效处置。</w:t>
            </w:r>
          </w:p>
          <w:p>
            <w:pPr>
              <w:pStyle w:val="40"/>
              <w:spacing w:line="360" w:lineRule="auto"/>
              <w:ind w:firstLine="482"/>
              <w:rPr>
                <w:rFonts w:hint="eastAsia" w:eastAsia="宋体"/>
                <w:b/>
                <w:bCs/>
              </w:rPr>
            </w:pPr>
            <w:r>
              <w:rPr>
                <w:rFonts w:hint="eastAsia" w:eastAsia="宋体"/>
                <w:b/>
                <w:bCs/>
              </w:rPr>
              <w:t>（3）固体废物环境管理要求</w:t>
            </w:r>
          </w:p>
          <w:p>
            <w:pPr>
              <w:adjustRightInd w:val="0"/>
              <w:snapToGrid w:val="0"/>
              <w:spacing w:line="360" w:lineRule="auto"/>
              <w:ind w:firstLine="480" w:firstLineChars="200"/>
              <w:rPr>
                <w:sz w:val="24"/>
              </w:rPr>
            </w:pPr>
            <w:r>
              <w:rPr>
                <w:sz w:val="24"/>
              </w:rPr>
              <w:t>企业为固体废物污染防治的责任主体，企业应建立有关转移管理的相关规定、人员培训考核制度、档案管理制度、全过程管理制度等。</w:t>
            </w:r>
          </w:p>
          <w:p>
            <w:pPr>
              <w:pStyle w:val="40"/>
              <w:spacing w:line="360" w:lineRule="auto"/>
              <w:ind w:firstLine="482"/>
              <w:rPr>
                <w:rFonts w:hint="eastAsia" w:eastAsia="宋体"/>
                <w:b/>
                <w:bCs/>
              </w:rPr>
            </w:pPr>
            <w:r>
              <w:rPr>
                <w:rFonts w:hint="eastAsia" w:eastAsia="宋体"/>
                <w:b/>
                <w:bCs/>
              </w:rPr>
              <w:t>（4）固体废物环境管理要求</w:t>
            </w:r>
          </w:p>
          <w:p>
            <w:pPr>
              <w:adjustRightInd w:val="0"/>
              <w:snapToGrid w:val="0"/>
              <w:spacing w:line="360" w:lineRule="auto"/>
              <w:ind w:firstLine="480" w:firstLineChars="200"/>
              <w:rPr>
                <w:sz w:val="24"/>
              </w:rPr>
            </w:pPr>
            <w:r>
              <w:rPr>
                <w:sz w:val="24"/>
              </w:rPr>
              <w:t>依据固体废物的种类、产生量及其管理的全过程可能造成的环境影响进行分析：</w:t>
            </w:r>
          </w:p>
          <w:p>
            <w:pPr>
              <w:adjustRightInd w:val="0"/>
              <w:snapToGrid w:val="0"/>
              <w:spacing w:line="360" w:lineRule="auto"/>
              <w:ind w:firstLine="480" w:firstLineChars="200"/>
              <w:rPr>
                <w:sz w:val="24"/>
              </w:rPr>
            </w:pPr>
            <w:r>
              <w:rPr>
                <w:rFonts w:hint="eastAsia" w:ascii="宋体" w:hAnsi="宋体" w:cs="宋体"/>
                <w:sz w:val="24"/>
              </w:rPr>
              <w:t>①</w:t>
            </w:r>
            <w:r>
              <w:rPr>
                <w:sz w:val="24"/>
              </w:rPr>
              <w:t>全厂固废分类收集与贮存，不混放，固废相互间不影响。</w:t>
            </w:r>
          </w:p>
          <w:p>
            <w:pPr>
              <w:adjustRightInd w:val="0"/>
              <w:snapToGrid w:val="0"/>
              <w:spacing w:line="360" w:lineRule="auto"/>
              <w:ind w:firstLine="480" w:firstLineChars="200"/>
              <w:rPr>
                <w:sz w:val="24"/>
              </w:rPr>
            </w:pPr>
            <w:r>
              <w:rPr>
                <w:rFonts w:hint="eastAsia" w:ascii="宋体" w:hAnsi="宋体" w:cs="宋体"/>
                <w:sz w:val="24"/>
              </w:rPr>
              <w:t>②</w:t>
            </w:r>
            <w:r>
              <w:rPr>
                <w:sz w:val="24"/>
              </w:rPr>
              <w:t>全厂固废运输由专业的运输单位负责，在运输过程中采用封闭运输，运输过程中不易散落和泄漏，对环境影响较小。</w:t>
            </w:r>
          </w:p>
          <w:p>
            <w:pPr>
              <w:adjustRightInd w:val="0"/>
              <w:snapToGrid w:val="0"/>
              <w:spacing w:line="360" w:lineRule="auto"/>
              <w:ind w:firstLine="480" w:firstLineChars="200"/>
              <w:rPr>
                <w:sz w:val="24"/>
              </w:rPr>
            </w:pPr>
            <w:r>
              <w:rPr>
                <w:rFonts w:hint="eastAsia" w:ascii="宋体" w:hAnsi="宋体" w:cs="宋体"/>
                <w:sz w:val="24"/>
              </w:rPr>
              <w:t>③</w:t>
            </w:r>
            <w:r>
              <w:rPr>
                <w:sz w:val="24"/>
              </w:rPr>
              <w:t>固废的贮存场所地面采用防渗地面，发生渗漏等事故可能性较小或甚微，对土壤、地下水产生的影响较小。</w:t>
            </w:r>
          </w:p>
          <w:p>
            <w:pPr>
              <w:adjustRightInd w:val="0"/>
              <w:snapToGrid w:val="0"/>
              <w:spacing w:line="360" w:lineRule="auto"/>
              <w:ind w:firstLine="480" w:firstLineChars="200"/>
              <w:rPr>
                <w:sz w:val="24"/>
              </w:rPr>
            </w:pPr>
            <w:r>
              <w:rPr>
                <w:rFonts w:hint="eastAsia" w:ascii="宋体" w:hAnsi="宋体" w:cs="宋体"/>
                <w:sz w:val="24"/>
              </w:rPr>
              <w:t>④</w:t>
            </w:r>
            <w:r>
              <w:rPr>
                <w:sz w:val="24"/>
              </w:rPr>
              <w:t>全厂的固废通过</w:t>
            </w:r>
            <w:r>
              <w:rPr>
                <w:rFonts w:hint="eastAsia"/>
                <w:sz w:val="24"/>
              </w:rPr>
              <w:t>外售</w:t>
            </w:r>
            <w:r>
              <w:rPr>
                <w:sz w:val="24"/>
              </w:rPr>
              <w:t>、环卫清运</w:t>
            </w:r>
            <w:r>
              <w:rPr>
                <w:rFonts w:hint="eastAsia"/>
                <w:sz w:val="24"/>
              </w:rPr>
              <w:t>、委托处置等</w:t>
            </w:r>
            <w:r>
              <w:rPr>
                <w:sz w:val="24"/>
              </w:rPr>
              <w:t>方式处置或利用，均不在厂内自行建设施处理，对大气、水体、土壤环境基本不产生影响。</w:t>
            </w:r>
          </w:p>
          <w:p>
            <w:pPr>
              <w:adjustRightInd w:val="0"/>
              <w:snapToGrid w:val="0"/>
              <w:spacing w:line="360" w:lineRule="auto"/>
              <w:ind w:firstLine="480" w:firstLineChars="200"/>
              <w:rPr>
                <w:sz w:val="24"/>
              </w:rPr>
            </w:pPr>
            <w:r>
              <w:rPr>
                <w:sz w:val="24"/>
              </w:rPr>
              <w:t>因此，项目所产生的固废均得到合理处置，固废零排放，对周围环境影响较小。</w:t>
            </w:r>
          </w:p>
          <w:p>
            <w:pPr>
              <w:pStyle w:val="10"/>
              <w:spacing w:line="360" w:lineRule="auto"/>
              <w:ind w:left="0" w:leftChars="0" w:right="0" w:rightChars="0" w:firstLine="0" w:firstLineChars="0"/>
              <w:jc w:val="left"/>
              <w:rPr>
                <w:b/>
                <w:bCs/>
                <w:color w:val="auto"/>
                <w:sz w:val="24"/>
              </w:rPr>
            </w:pPr>
            <w:r>
              <w:rPr>
                <w:rFonts w:hint="eastAsia"/>
                <w:b/>
                <w:bCs/>
                <w:color w:val="auto"/>
                <w:sz w:val="24"/>
              </w:rPr>
              <w:t>5、</w:t>
            </w:r>
            <w:r>
              <w:rPr>
                <w:b/>
                <w:bCs/>
                <w:color w:val="auto"/>
                <w:sz w:val="24"/>
              </w:rPr>
              <w:t>土壤和地下水环境影响分析</w:t>
            </w:r>
          </w:p>
          <w:p>
            <w:pPr>
              <w:pStyle w:val="10"/>
              <w:spacing w:line="360" w:lineRule="auto"/>
              <w:ind w:left="0" w:leftChars="0" w:right="0" w:rightChars="0" w:firstLine="482"/>
              <w:jc w:val="left"/>
              <w:rPr>
                <w:rFonts w:hint="eastAsia" w:ascii="宋体" w:hAnsi="宋体"/>
                <w:b/>
                <w:color w:val="auto"/>
                <w:sz w:val="24"/>
              </w:rPr>
            </w:pPr>
            <w:r>
              <w:rPr>
                <w:rFonts w:hint="eastAsia"/>
                <w:b/>
                <w:color w:val="auto"/>
                <w:sz w:val="24"/>
              </w:rPr>
              <w:t>（1）</w:t>
            </w:r>
            <w:r>
              <w:rPr>
                <w:rFonts w:hint="eastAsia" w:ascii="宋体" w:hAnsi="宋体"/>
                <w:b/>
                <w:color w:val="auto"/>
                <w:sz w:val="24"/>
              </w:rPr>
              <w:t>污染源分析</w:t>
            </w:r>
          </w:p>
          <w:p>
            <w:pPr>
              <w:pStyle w:val="10"/>
              <w:spacing w:line="360" w:lineRule="auto"/>
              <w:ind w:left="0" w:leftChars="0" w:right="0" w:rightChars="0" w:firstLine="480"/>
              <w:jc w:val="left"/>
              <w:rPr>
                <w:rFonts w:hint="eastAsia" w:ascii="宋体" w:hAnsi="宋体"/>
                <w:bCs/>
                <w:color w:val="auto"/>
                <w:sz w:val="24"/>
              </w:rPr>
            </w:pPr>
            <w:r>
              <w:rPr>
                <w:rFonts w:hint="eastAsia" w:ascii="宋体" w:hAnsi="宋体"/>
                <w:bCs/>
                <w:color w:val="auto"/>
                <w:sz w:val="24"/>
              </w:rPr>
              <w:t>经过筛选、评估，本项目可能影响土壤、地下水环境的途径为原辅材料、危险废物散落，雨污管网系统老化造成污水渗漏。</w:t>
            </w:r>
          </w:p>
          <w:p>
            <w:pPr>
              <w:pStyle w:val="10"/>
              <w:spacing w:line="360" w:lineRule="auto"/>
              <w:ind w:left="0" w:leftChars="0" w:right="0" w:rightChars="0" w:firstLine="482"/>
              <w:jc w:val="left"/>
              <w:rPr>
                <w:rFonts w:hint="eastAsia"/>
                <w:b/>
                <w:bCs/>
                <w:color w:val="auto"/>
                <w:sz w:val="24"/>
              </w:rPr>
            </w:pPr>
            <w:r>
              <w:rPr>
                <w:rFonts w:hint="eastAsia"/>
                <w:b/>
                <w:color w:val="auto"/>
                <w:sz w:val="24"/>
              </w:rPr>
              <w:t>（2）</w:t>
            </w:r>
            <w:r>
              <w:rPr>
                <w:rFonts w:hint="eastAsia"/>
                <w:b/>
                <w:bCs/>
                <w:color w:val="auto"/>
                <w:sz w:val="24"/>
              </w:rPr>
              <w:t>防渗要求</w:t>
            </w:r>
          </w:p>
          <w:p>
            <w:pPr>
              <w:adjustRightInd w:val="0"/>
              <w:snapToGrid w:val="0"/>
              <w:spacing w:line="360" w:lineRule="auto"/>
              <w:ind w:firstLine="480" w:firstLineChars="200"/>
              <w:rPr>
                <w:sz w:val="24"/>
              </w:rPr>
            </w:pPr>
            <w:r>
              <w:rPr>
                <w:rFonts w:hint="eastAsia"/>
                <w:sz w:val="24"/>
              </w:rPr>
              <w:t>①</w:t>
            </w:r>
            <w:r>
              <w:rPr>
                <w:sz w:val="24"/>
              </w:rPr>
              <w:t>源头上控制对土壤及地下水的污染</w:t>
            </w:r>
          </w:p>
          <w:p>
            <w:pPr>
              <w:spacing w:line="360" w:lineRule="auto"/>
              <w:ind w:firstLine="480" w:firstLineChars="200"/>
              <w:rPr>
                <w:sz w:val="24"/>
              </w:rPr>
            </w:pPr>
            <w:r>
              <w:rPr>
                <w:sz w:val="24"/>
              </w:rPr>
              <w:t>实施清洁生产和循环经济，减少污染物的排放量。从设计、管理设备和物料运输线路上，防止和减少污染物的跑冒滴漏；</w:t>
            </w:r>
            <w:r>
              <w:rPr>
                <w:rFonts w:hint="eastAsia"/>
                <w:sz w:val="24"/>
              </w:rPr>
              <w:t>建设完善的雨污管网系统，污水管道采用专用防渗管沟，保证污水能够顺畅排入市政管网</w:t>
            </w:r>
            <w:r>
              <w:rPr>
                <w:sz w:val="24"/>
              </w:rPr>
              <w:t>合理布局，</w:t>
            </w:r>
            <w:r>
              <w:rPr>
                <w:rFonts w:hint="eastAsia"/>
                <w:sz w:val="24"/>
              </w:rPr>
              <w:t>防止污水跑冒滴漏</w:t>
            </w:r>
            <w:r>
              <w:rPr>
                <w:sz w:val="24"/>
              </w:rPr>
              <w:t>。</w:t>
            </w:r>
          </w:p>
          <w:p>
            <w:pPr>
              <w:pStyle w:val="10"/>
              <w:spacing w:line="360" w:lineRule="auto"/>
              <w:ind w:left="0" w:leftChars="0" w:right="0" w:rightChars="0" w:firstLine="480"/>
              <w:jc w:val="left"/>
              <w:rPr>
                <w:bCs/>
                <w:color w:val="auto"/>
                <w:sz w:val="24"/>
              </w:rPr>
            </w:pPr>
            <w:r>
              <w:rPr>
                <w:rFonts w:hint="eastAsia"/>
                <w:bCs/>
                <w:color w:val="auto"/>
                <w:sz w:val="24"/>
              </w:rPr>
              <w:t>②污染防治措施</w:t>
            </w:r>
          </w:p>
          <w:p>
            <w:pPr>
              <w:spacing w:line="360" w:lineRule="auto"/>
              <w:ind w:firstLine="480" w:firstLineChars="200"/>
              <w:rPr>
                <w:rFonts w:hint="eastAsia"/>
                <w:sz w:val="24"/>
              </w:rPr>
            </w:pPr>
            <w:r>
              <w:rPr>
                <w:rFonts w:hint="eastAsia"/>
                <w:sz w:val="24"/>
              </w:rPr>
              <w:t>为防止物料、废物等跑、冒、滴、漏以及产生渗漏水污染地下水和土壤，项目应当采取分区防渗措施，本项目具体防渗要求详见下表：</w:t>
            </w:r>
          </w:p>
          <w:p>
            <w:pPr>
              <w:jc w:val="center"/>
              <w:rPr>
                <w:rStyle w:val="29"/>
                <w:b/>
                <w:sz w:val="24"/>
              </w:rPr>
            </w:pPr>
            <w:r>
              <w:rPr>
                <w:rStyle w:val="29"/>
                <w:b/>
                <w:sz w:val="24"/>
              </w:rPr>
              <w:t>表4-</w:t>
            </w:r>
            <w:r>
              <w:rPr>
                <w:rStyle w:val="29"/>
                <w:rFonts w:hint="eastAsia"/>
                <w:b/>
                <w:sz w:val="24"/>
                <w:lang w:val="en-US" w:eastAsia="zh-CN"/>
              </w:rPr>
              <w:t>12</w:t>
            </w:r>
            <w:r>
              <w:rPr>
                <w:rStyle w:val="29"/>
                <w:b/>
                <w:sz w:val="24"/>
              </w:rPr>
              <w:t xml:space="preserve">  </w:t>
            </w:r>
            <w:r>
              <w:rPr>
                <w:rStyle w:val="29"/>
                <w:rFonts w:hint="eastAsia" w:ascii="宋体" w:hAnsi="宋体"/>
                <w:b/>
                <w:sz w:val="24"/>
              </w:rPr>
              <w:t>地下水、土壤污染源</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883"/>
              <w:gridCol w:w="55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32" w:type="pct"/>
                  <w:noWrap w:val="0"/>
                  <w:vAlign w:val="center"/>
                </w:tcPr>
                <w:p>
                  <w:pPr>
                    <w:jc w:val="center"/>
                    <w:rPr>
                      <w:rStyle w:val="29"/>
                      <w:b/>
                      <w:bCs/>
                    </w:rPr>
                  </w:pPr>
                  <w:r>
                    <w:rPr>
                      <w:rStyle w:val="29"/>
                      <w:b/>
                      <w:bCs/>
                    </w:rPr>
                    <w:t>防渗区域</w:t>
                  </w:r>
                </w:p>
              </w:tc>
              <w:tc>
                <w:tcPr>
                  <w:tcW w:w="527" w:type="pct"/>
                  <w:noWrap w:val="0"/>
                  <w:vAlign w:val="center"/>
                </w:tcPr>
                <w:p>
                  <w:pPr>
                    <w:jc w:val="center"/>
                    <w:rPr>
                      <w:rStyle w:val="29"/>
                      <w:b/>
                      <w:bCs/>
                    </w:rPr>
                  </w:pPr>
                  <w:r>
                    <w:rPr>
                      <w:rStyle w:val="29"/>
                      <w:b/>
                      <w:bCs/>
                    </w:rPr>
                    <w:t>防渗类别</w:t>
                  </w:r>
                </w:p>
              </w:tc>
              <w:tc>
                <w:tcPr>
                  <w:tcW w:w="3339" w:type="pct"/>
                  <w:noWrap w:val="0"/>
                  <w:vAlign w:val="center"/>
                </w:tcPr>
                <w:p>
                  <w:pPr>
                    <w:jc w:val="center"/>
                    <w:rPr>
                      <w:rStyle w:val="29"/>
                      <w:b/>
                      <w:bCs/>
                    </w:rPr>
                  </w:pPr>
                  <w:r>
                    <w:rPr>
                      <w:rStyle w:val="29"/>
                      <w:b/>
                      <w:bCs/>
                    </w:rPr>
                    <w:t>防渗要求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2" w:type="pct"/>
                  <w:noWrap w:val="0"/>
                  <w:vAlign w:val="center"/>
                </w:tcPr>
                <w:p>
                  <w:pPr>
                    <w:jc w:val="center"/>
                    <w:rPr>
                      <w:rStyle w:val="29"/>
                      <w:rFonts w:hint="eastAsia"/>
                    </w:rPr>
                  </w:pPr>
                  <w:r>
                    <w:rPr>
                      <w:rStyle w:val="29"/>
                      <w:rFonts w:hint="eastAsia"/>
                    </w:rPr>
                    <w:t>危险废物仓库</w:t>
                  </w:r>
                </w:p>
              </w:tc>
              <w:tc>
                <w:tcPr>
                  <w:tcW w:w="527" w:type="pct"/>
                  <w:noWrap w:val="0"/>
                  <w:vAlign w:val="center"/>
                </w:tcPr>
                <w:p>
                  <w:pPr>
                    <w:jc w:val="center"/>
                    <w:rPr>
                      <w:rStyle w:val="29"/>
                      <w:rFonts w:hint="eastAsia"/>
                    </w:rPr>
                  </w:pPr>
                  <w:r>
                    <w:rPr>
                      <w:rStyle w:val="29"/>
                      <w:rFonts w:hint="eastAsia"/>
                    </w:rPr>
                    <w:t>重点</w:t>
                  </w:r>
                  <w:r>
                    <w:rPr>
                      <w:rStyle w:val="29"/>
                    </w:rPr>
                    <w:t>防渗</w:t>
                  </w:r>
                </w:p>
              </w:tc>
              <w:tc>
                <w:tcPr>
                  <w:tcW w:w="3339" w:type="pct"/>
                  <w:noWrap w:val="0"/>
                  <w:vAlign w:val="center"/>
                </w:tcPr>
                <w:p>
                  <w:pPr>
                    <w:jc w:val="center"/>
                    <w:rPr>
                      <w:rStyle w:val="29"/>
                    </w:rPr>
                  </w:pPr>
                  <w:r>
                    <w:rPr>
                      <w:rStyle w:val="29"/>
                    </w:rPr>
                    <w:t>地面</w:t>
                  </w:r>
                  <w:r>
                    <w:rPr>
                      <w:rStyle w:val="29"/>
                      <w:rFonts w:hint="eastAsia"/>
                    </w:rPr>
                    <w:t>应铺设抗渗混凝土及耐腐蚀硬化材料</w:t>
                  </w:r>
                  <w:r>
                    <w:rPr>
                      <w:rStyle w:val="29"/>
                    </w:rPr>
                    <w:t>，防渗层为2mm厚高密度聚乙烯，或至少2mm厚的其它</w:t>
                  </w:r>
                  <w:r>
                    <w:rPr>
                      <w:rStyle w:val="29"/>
                      <w:rFonts w:hint="eastAsia"/>
                    </w:rPr>
                    <w:t>耐腐蚀</w:t>
                  </w:r>
                  <w:r>
                    <w:rPr>
                      <w:rStyle w:val="29"/>
                    </w:rPr>
                    <w:t>材料，渗透系数≤10</w:t>
                  </w:r>
                  <w:r>
                    <w:rPr>
                      <w:rStyle w:val="29"/>
                      <w:vertAlign w:val="superscript"/>
                    </w:rPr>
                    <w:t>-10</w:t>
                  </w:r>
                  <w:r>
                    <w:rPr>
                      <w:rStyle w:val="29"/>
                    </w:rPr>
                    <w:t>cm/s</w:t>
                  </w:r>
                  <w:r>
                    <w:rPr>
                      <w:rStyle w:val="29"/>
                      <w:rFonts w:hint="eastAsia"/>
                    </w:rPr>
                    <w:t>，且地面无裂缝</w:t>
                  </w:r>
                  <w:r>
                    <w:rPr>
                      <w:rStyle w:val="29"/>
                    </w:rPr>
                    <w:t>；衬里要能够覆盖废物或其溶出物可能涉及到的范围；衬里材料与堆放的废物相容</w:t>
                  </w:r>
                  <w:r>
                    <w:rPr>
                      <w:rStyle w:val="29"/>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132" w:type="pct"/>
                  <w:noWrap w:val="0"/>
                  <w:vAlign w:val="center"/>
                </w:tcPr>
                <w:p>
                  <w:pPr>
                    <w:jc w:val="center"/>
                    <w:rPr>
                      <w:rStyle w:val="29"/>
                      <w:rFonts w:hint="eastAsia"/>
                    </w:rPr>
                  </w:pPr>
                  <w:r>
                    <w:rPr>
                      <w:rStyle w:val="29"/>
                    </w:rPr>
                    <w:t>生产</w:t>
                  </w:r>
                  <w:r>
                    <w:rPr>
                      <w:rStyle w:val="29"/>
                      <w:rFonts w:hint="eastAsia"/>
                    </w:rPr>
                    <w:t>车间、一般固废仓库、办公区、成品储存区等</w:t>
                  </w:r>
                </w:p>
              </w:tc>
              <w:tc>
                <w:tcPr>
                  <w:tcW w:w="527" w:type="pct"/>
                  <w:noWrap w:val="0"/>
                  <w:vAlign w:val="center"/>
                </w:tcPr>
                <w:p>
                  <w:pPr>
                    <w:jc w:val="center"/>
                    <w:rPr>
                      <w:rStyle w:val="29"/>
                    </w:rPr>
                  </w:pPr>
                  <w:r>
                    <w:rPr>
                      <w:rStyle w:val="29"/>
                      <w:rFonts w:hint="eastAsia"/>
                    </w:rPr>
                    <w:t>一般防渗</w:t>
                  </w:r>
                </w:p>
              </w:tc>
              <w:tc>
                <w:tcPr>
                  <w:tcW w:w="3339" w:type="pct"/>
                  <w:noWrap w:val="0"/>
                  <w:vAlign w:val="center"/>
                </w:tcPr>
                <w:p>
                  <w:pPr>
                    <w:adjustRightInd w:val="0"/>
                    <w:snapToGrid w:val="0"/>
                    <w:jc w:val="center"/>
                    <w:rPr>
                      <w:rStyle w:val="29"/>
                    </w:rPr>
                  </w:pPr>
                  <w:r>
                    <w:rPr>
                      <w:szCs w:val="21"/>
                    </w:rPr>
                    <w:t>包括除重点防渗区外的其余部分地面，包括原料区、成品区</w:t>
                  </w:r>
                  <w:r>
                    <w:rPr>
                      <w:rFonts w:hint="eastAsia"/>
                      <w:szCs w:val="21"/>
                    </w:rPr>
                    <w:t>等</w:t>
                  </w:r>
                  <w:r>
                    <w:rPr>
                      <w:szCs w:val="21"/>
                    </w:rPr>
                    <w:t>，采用抗渗等级不低于P1级的抗渗混凝土（渗透系数约0.4×10</w:t>
                  </w:r>
                  <w:r>
                    <w:rPr>
                      <w:szCs w:val="21"/>
                      <w:vertAlign w:val="superscript"/>
                    </w:rPr>
                    <w:t>-7</w:t>
                  </w:r>
                  <w:r>
                    <w:rPr>
                      <w:szCs w:val="21"/>
                    </w:rPr>
                    <w:t>cm/s，厚度不低于20cm）硬化地面。</w:t>
                  </w:r>
                </w:p>
              </w:tc>
            </w:tr>
          </w:tbl>
          <w:p>
            <w:pPr>
              <w:pStyle w:val="40"/>
              <w:adjustRightInd w:val="0"/>
              <w:snapToGrid w:val="0"/>
              <w:spacing w:before="120" w:beforeLines="50" w:line="360" w:lineRule="auto"/>
              <w:ind w:firstLine="482"/>
              <w:rPr>
                <w:rFonts w:eastAsia="宋体"/>
                <w:b/>
                <w:bCs/>
              </w:rPr>
            </w:pPr>
            <w:r>
              <w:rPr>
                <w:rFonts w:hint="eastAsia" w:eastAsia="宋体"/>
                <w:b/>
                <w:bCs/>
              </w:rPr>
              <w:t>（3）</w:t>
            </w:r>
            <w:r>
              <w:rPr>
                <w:rFonts w:eastAsia="宋体"/>
                <w:b/>
                <w:bCs/>
              </w:rPr>
              <w:t>地下水、土壤环境影响分析结论</w:t>
            </w:r>
          </w:p>
          <w:p>
            <w:pPr>
              <w:spacing w:line="360" w:lineRule="auto"/>
              <w:ind w:firstLine="480" w:firstLineChars="200"/>
              <w:rPr>
                <w:sz w:val="24"/>
              </w:rPr>
            </w:pPr>
            <w:r>
              <w:rPr>
                <w:rFonts w:hint="eastAsia"/>
                <w:sz w:val="24"/>
              </w:rPr>
              <w:t>项目在采取分区防渗后</w:t>
            </w:r>
            <w:r>
              <w:rPr>
                <w:sz w:val="24"/>
              </w:rPr>
              <w:t>，可有效防止</w:t>
            </w:r>
            <w:r>
              <w:rPr>
                <w:rFonts w:hint="eastAsia"/>
                <w:sz w:val="24"/>
              </w:rPr>
              <w:t>项目物料对土壤、地下水的影响。</w:t>
            </w:r>
          </w:p>
          <w:p>
            <w:pPr>
              <w:pStyle w:val="10"/>
              <w:spacing w:line="360" w:lineRule="auto"/>
              <w:ind w:left="0" w:leftChars="0" w:right="0" w:rightChars="0" w:firstLine="0" w:firstLineChars="0"/>
              <w:jc w:val="left"/>
              <w:rPr>
                <w:rFonts w:hint="eastAsia"/>
                <w:b/>
                <w:bCs/>
                <w:color w:val="auto"/>
                <w:sz w:val="24"/>
              </w:rPr>
            </w:pPr>
            <w:r>
              <w:rPr>
                <w:rFonts w:hint="eastAsia"/>
                <w:b/>
                <w:bCs/>
                <w:color w:val="auto"/>
                <w:sz w:val="24"/>
              </w:rPr>
              <w:t>6、</w:t>
            </w:r>
            <w:r>
              <w:rPr>
                <w:b/>
                <w:bCs/>
                <w:color w:val="auto"/>
                <w:sz w:val="24"/>
              </w:rPr>
              <w:t>环境风险</w:t>
            </w:r>
            <w:r>
              <w:rPr>
                <w:rFonts w:hint="eastAsia"/>
                <w:b/>
                <w:bCs/>
                <w:color w:val="auto"/>
                <w:sz w:val="24"/>
              </w:rPr>
              <w:t>影响分析</w:t>
            </w:r>
          </w:p>
          <w:p>
            <w:pPr>
              <w:pStyle w:val="10"/>
              <w:spacing w:line="360" w:lineRule="auto"/>
              <w:ind w:left="0" w:leftChars="0" w:right="0" w:rightChars="0" w:firstLine="482"/>
              <w:jc w:val="left"/>
              <w:rPr>
                <w:b/>
                <w:bCs/>
                <w:color w:val="auto"/>
                <w:sz w:val="24"/>
              </w:rPr>
            </w:pPr>
            <w:r>
              <w:rPr>
                <w:rFonts w:hint="eastAsia"/>
                <w:b/>
                <w:bCs/>
                <w:color w:val="auto"/>
                <w:sz w:val="24"/>
              </w:rPr>
              <w:t>（1）风险源</w:t>
            </w:r>
            <w:r>
              <w:rPr>
                <w:b/>
                <w:bCs/>
                <w:color w:val="auto"/>
                <w:sz w:val="24"/>
              </w:rPr>
              <w:t>分析</w:t>
            </w:r>
          </w:p>
          <w:p>
            <w:pPr>
              <w:pStyle w:val="10"/>
              <w:spacing w:line="360" w:lineRule="auto"/>
              <w:ind w:left="0" w:leftChars="0" w:right="0" w:rightChars="0" w:firstLine="480" w:firstLineChars="0"/>
              <w:jc w:val="left"/>
              <w:rPr>
                <w:rFonts w:hint="eastAsia"/>
                <w:color w:val="0000FF"/>
                <w:sz w:val="24"/>
              </w:rPr>
            </w:pPr>
            <w:r>
              <w:rPr>
                <w:color w:val="auto"/>
                <w:sz w:val="24"/>
              </w:rPr>
              <w:t>按照《建设项目环境风险评价技术导则》（HJ169-2018）附录B.1中表1“突发环境事件风险物质及临界量”和《重大危险源辨识》（GB18218-2018），经过筛选、评估，</w:t>
            </w:r>
            <w:r>
              <w:rPr>
                <w:rFonts w:hint="eastAsia"/>
                <w:color w:val="auto"/>
                <w:sz w:val="24"/>
              </w:rPr>
              <w:t>项目涉及风险物质为</w:t>
            </w:r>
            <w:r>
              <w:rPr>
                <w:rFonts w:hint="eastAsia"/>
                <w:color w:val="auto"/>
                <w:sz w:val="24"/>
                <w:highlight w:val="none"/>
              </w:rPr>
              <w:t>危险废物</w:t>
            </w:r>
            <w:r>
              <w:rPr>
                <w:color w:val="auto"/>
                <w:sz w:val="24"/>
                <w:highlight w:val="none"/>
              </w:rPr>
              <w:t>。</w:t>
            </w:r>
          </w:p>
          <w:p>
            <w:pPr>
              <w:pStyle w:val="10"/>
              <w:spacing w:line="360" w:lineRule="auto"/>
              <w:ind w:left="0" w:leftChars="0" w:right="0" w:rightChars="0" w:firstLine="482"/>
              <w:rPr>
                <w:rFonts w:hint="eastAsia"/>
                <w:b/>
                <w:bCs/>
                <w:color w:val="auto"/>
                <w:sz w:val="24"/>
              </w:rPr>
            </w:pPr>
            <w:r>
              <w:rPr>
                <w:rFonts w:hint="eastAsia"/>
                <w:b/>
                <w:bCs/>
                <w:color w:val="auto"/>
                <w:sz w:val="24"/>
              </w:rPr>
              <w:t>（2）</w:t>
            </w:r>
            <w:r>
              <w:rPr>
                <w:b/>
                <w:bCs/>
                <w:color w:val="auto"/>
                <w:sz w:val="24"/>
              </w:rPr>
              <w:t>环境风险防范措施</w:t>
            </w:r>
            <w:r>
              <w:rPr>
                <w:rFonts w:hint="eastAsia"/>
                <w:b/>
                <w:bCs/>
                <w:color w:val="auto"/>
                <w:sz w:val="24"/>
              </w:rPr>
              <w:t>及应急要求</w:t>
            </w:r>
          </w:p>
          <w:p>
            <w:pPr>
              <w:pStyle w:val="8"/>
              <w:widowControl/>
              <w:adjustRightInd w:val="0"/>
              <w:snapToGrid w:val="0"/>
              <w:spacing w:line="360" w:lineRule="auto"/>
              <w:ind w:firstLine="482" w:firstLineChars="200"/>
              <w:rPr>
                <w:rFonts w:ascii="Times New Roman" w:hAnsi="Times New Roman" w:eastAsia="宋体"/>
                <w:b/>
                <w:bCs/>
              </w:rPr>
            </w:pPr>
            <w:r>
              <w:rPr>
                <w:rFonts w:hint="eastAsia" w:ascii="Times New Roman" w:hAnsi="Times New Roman" w:eastAsia="宋体"/>
                <w:b/>
                <w:bCs/>
              </w:rPr>
              <w:t>1）环境风险防范措施</w:t>
            </w:r>
          </w:p>
          <w:p>
            <w:pPr>
              <w:pStyle w:val="8"/>
              <w:widowControl/>
              <w:adjustRightInd w:val="0"/>
              <w:snapToGrid w:val="0"/>
              <w:spacing w:line="360" w:lineRule="auto"/>
              <w:ind w:firstLine="480" w:firstLineChars="200"/>
              <w:rPr>
                <w:rFonts w:hint="eastAsia" w:ascii="Times New Roman" w:hAnsi="Times New Roman" w:eastAsia="宋体"/>
                <w:b w:val="0"/>
                <w:bCs w:val="0"/>
              </w:rPr>
            </w:pPr>
            <w:r>
              <w:rPr>
                <w:rFonts w:hint="eastAsia" w:ascii="Times New Roman" w:hAnsi="Times New Roman" w:eastAsia="宋体"/>
                <w:b w:val="0"/>
                <w:bCs w:val="0"/>
              </w:rPr>
              <w:t>①控制与消除火源</w:t>
            </w:r>
          </w:p>
          <w:p>
            <w:pPr>
              <w:pStyle w:val="8"/>
              <w:widowControl/>
              <w:numPr>
                <w:ilvl w:val="0"/>
                <w:numId w:val="7"/>
              </w:numPr>
              <w:adjustRightInd w:val="0"/>
              <w:snapToGrid w:val="0"/>
              <w:spacing w:line="360" w:lineRule="auto"/>
              <w:rPr>
                <w:rFonts w:hint="eastAsia" w:ascii="Times New Roman" w:hAnsi="Times New Roman" w:eastAsia="宋体"/>
                <w:b w:val="0"/>
                <w:bCs w:val="0"/>
                <w:lang w:eastAsia="zh-CN"/>
              </w:rPr>
            </w:pPr>
            <w:r>
              <w:rPr>
                <w:rFonts w:hint="eastAsia" w:ascii="Times New Roman" w:hAnsi="Times New Roman" w:eastAsia="宋体"/>
                <w:b w:val="0"/>
                <w:bCs w:val="0"/>
              </w:rPr>
              <w:t>工作时严禁吸烟、携带火种、穿带钉皮鞋等进入</w:t>
            </w:r>
            <w:r>
              <w:rPr>
                <w:rFonts w:hint="eastAsia" w:ascii="Times New Roman" w:hAnsi="Times New Roman" w:eastAsia="宋体"/>
                <w:b w:val="0"/>
                <w:bCs w:val="0"/>
                <w:lang w:val="en-US" w:eastAsia="zh-CN"/>
              </w:rPr>
              <w:t>工作</w:t>
            </w:r>
            <w:r>
              <w:rPr>
                <w:rFonts w:hint="eastAsia" w:ascii="Times New Roman" w:hAnsi="Times New Roman" w:eastAsia="宋体"/>
                <w:b w:val="0"/>
                <w:bCs w:val="0"/>
              </w:rPr>
              <w:t>区</w:t>
            </w:r>
            <w:r>
              <w:rPr>
                <w:rFonts w:hint="eastAsia" w:ascii="Times New Roman" w:hAnsi="Times New Roman" w:eastAsia="宋体"/>
                <w:b w:val="0"/>
                <w:bCs w:val="0"/>
                <w:lang w:eastAsia="zh-CN"/>
              </w:rPr>
              <w:t>；</w:t>
            </w:r>
          </w:p>
          <w:p>
            <w:pPr>
              <w:pStyle w:val="8"/>
              <w:widowControl/>
              <w:numPr>
                <w:ilvl w:val="0"/>
                <w:numId w:val="7"/>
              </w:numPr>
              <w:adjustRightInd w:val="0"/>
              <w:snapToGrid w:val="0"/>
              <w:spacing w:line="360" w:lineRule="auto"/>
              <w:rPr>
                <w:rFonts w:hint="eastAsia" w:ascii="Times New Roman" w:hAnsi="Times New Roman" w:eastAsia="宋体"/>
                <w:b w:val="0"/>
                <w:bCs w:val="0"/>
              </w:rPr>
            </w:pPr>
            <w:r>
              <w:rPr>
                <w:rFonts w:hint="eastAsia" w:ascii="Times New Roman" w:hAnsi="Times New Roman" w:eastAsia="宋体"/>
                <w:b w:val="0"/>
                <w:bCs w:val="0"/>
              </w:rPr>
              <w:t>动火必须按动火手续办理动火证，采取有效的防范措施</w:t>
            </w:r>
            <w:r>
              <w:rPr>
                <w:rFonts w:hint="eastAsia" w:ascii="Times New Roman" w:hAnsi="Times New Roman" w:eastAsia="宋体"/>
                <w:b w:val="0"/>
                <w:bCs w:val="0"/>
                <w:lang w:eastAsia="zh-CN"/>
              </w:rPr>
              <w:t>；</w:t>
            </w:r>
          </w:p>
          <w:p>
            <w:pPr>
              <w:pStyle w:val="8"/>
              <w:widowControl/>
              <w:numPr>
                <w:ilvl w:val="0"/>
                <w:numId w:val="7"/>
              </w:numPr>
              <w:adjustRightInd w:val="0"/>
              <w:snapToGrid w:val="0"/>
              <w:spacing w:line="360" w:lineRule="auto"/>
              <w:rPr>
                <w:rFonts w:hint="eastAsia" w:ascii="Times New Roman" w:hAnsi="Times New Roman" w:eastAsia="宋体"/>
                <w:b w:val="0"/>
                <w:bCs w:val="0"/>
              </w:rPr>
            </w:pPr>
            <w:r>
              <w:rPr>
                <w:rFonts w:hint="eastAsia" w:ascii="Times New Roman" w:hAnsi="Times New Roman" w:eastAsia="宋体"/>
                <w:b w:val="0"/>
                <w:bCs w:val="0"/>
              </w:rPr>
              <w:t>使用防爆型电器</w:t>
            </w:r>
            <w:r>
              <w:rPr>
                <w:rFonts w:hint="eastAsia" w:ascii="Times New Roman" w:hAnsi="Times New Roman" w:eastAsia="宋体"/>
                <w:b w:val="0"/>
                <w:bCs w:val="0"/>
                <w:lang w:eastAsia="zh-CN"/>
              </w:rPr>
              <w:t>；</w:t>
            </w:r>
          </w:p>
          <w:p>
            <w:pPr>
              <w:pStyle w:val="8"/>
              <w:widowControl/>
              <w:numPr>
                <w:ilvl w:val="0"/>
                <w:numId w:val="7"/>
              </w:numPr>
              <w:adjustRightInd w:val="0"/>
              <w:snapToGrid w:val="0"/>
              <w:spacing w:line="360" w:lineRule="auto"/>
              <w:rPr>
                <w:rFonts w:hint="eastAsia" w:ascii="Times New Roman" w:hAnsi="Times New Roman" w:eastAsia="宋体"/>
                <w:b w:val="0"/>
                <w:bCs w:val="0"/>
              </w:rPr>
            </w:pPr>
            <w:r>
              <w:rPr>
                <w:rFonts w:hint="eastAsia" w:ascii="Times New Roman" w:hAnsi="Times New Roman" w:eastAsia="宋体"/>
                <w:b w:val="0"/>
                <w:bCs w:val="0"/>
              </w:rPr>
              <w:t>转动设备部位要保持清洁，防止因摩擦引起杂物等燃烧</w:t>
            </w:r>
            <w:r>
              <w:rPr>
                <w:rFonts w:hint="eastAsia" w:ascii="Times New Roman" w:hAnsi="Times New Roman" w:eastAsia="宋体"/>
                <w:b w:val="0"/>
                <w:bCs w:val="0"/>
                <w:lang w:eastAsia="zh-CN"/>
              </w:rPr>
              <w:t>；</w:t>
            </w:r>
          </w:p>
          <w:p>
            <w:pPr>
              <w:pStyle w:val="8"/>
              <w:widowControl/>
              <w:numPr>
                <w:ilvl w:val="0"/>
                <w:numId w:val="7"/>
              </w:numPr>
              <w:adjustRightInd w:val="0"/>
              <w:snapToGrid w:val="0"/>
              <w:spacing w:line="360" w:lineRule="auto"/>
              <w:rPr>
                <w:rFonts w:hint="eastAsia" w:ascii="Times New Roman" w:hAnsi="Times New Roman" w:eastAsia="宋体"/>
                <w:b w:val="0"/>
                <w:bCs w:val="0"/>
              </w:rPr>
            </w:pPr>
            <w:r>
              <w:rPr>
                <w:rFonts w:hint="eastAsia" w:ascii="Times New Roman" w:hAnsi="Times New Roman" w:eastAsia="宋体"/>
                <w:b w:val="0"/>
                <w:bCs w:val="0"/>
              </w:rPr>
              <w:t>物料运输要请专门的、有资质的运输单位，运用专用的设备进行运输。</w:t>
            </w:r>
          </w:p>
          <w:p>
            <w:pPr>
              <w:pStyle w:val="8"/>
              <w:widowControl/>
              <w:adjustRightInd w:val="0"/>
              <w:snapToGrid w:val="0"/>
              <w:spacing w:line="360" w:lineRule="auto"/>
              <w:ind w:firstLine="480" w:firstLineChars="200"/>
              <w:rPr>
                <w:rFonts w:hint="eastAsia" w:ascii="Times New Roman" w:hAnsi="Times New Roman" w:eastAsia="宋体" w:cs="Times New Roman"/>
                <w:b w:val="0"/>
                <w:bCs w:val="0"/>
              </w:rPr>
            </w:pPr>
            <w:r>
              <w:rPr>
                <w:rFonts w:hint="eastAsia" w:ascii="Times New Roman" w:hAnsi="Times New Roman" w:eastAsia="宋体" w:cs="Times New Roman"/>
                <w:b w:val="0"/>
                <w:bCs w:val="0"/>
              </w:rPr>
              <w:t>②严格控制设备质量与安装质量</w:t>
            </w:r>
          </w:p>
          <w:p>
            <w:pPr>
              <w:pStyle w:val="8"/>
              <w:widowControl/>
              <w:numPr>
                <w:ilvl w:val="0"/>
                <w:numId w:val="8"/>
              </w:numPr>
              <w:adjustRightInd w:val="0"/>
              <w:snapToGrid w:val="0"/>
              <w:spacing w:line="360" w:lineRule="auto"/>
              <w:rPr>
                <w:rFonts w:hint="eastAsia" w:ascii="Times New Roman" w:hAnsi="Times New Roman" w:eastAsia="宋体" w:cs="Times New Roman"/>
                <w:b w:val="0"/>
                <w:bCs w:val="0"/>
                <w:lang w:eastAsia="zh-CN"/>
              </w:rPr>
            </w:pPr>
            <w:r>
              <w:rPr>
                <w:rFonts w:hint="eastAsia" w:ascii="Times New Roman" w:hAnsi="Times New Roman" w:eastAsia="宋体" w:cs="Times New Roman"/>
                <w:b w:val="0"/>
                <w:bCs w:val="0"/>
              </w:rPr>
              <w:t>设备及其配套仪表选用合格产品</w:t>
            </w:r>
            <w:r>
              <w:rPr>
                <w:rFonts w:hint="eastAsia" w:ascii="Times New Roman" w:hAnsi="Times New Roman" w:eastAsia="宋体" w:cs="Times New Roman"/>
                <w:b w:val="0"/>
                <w:bCs w:val="0"/>
                <w:lang w:eastAsia="zh-CN"/>
              </w:rPr>
              <w:t>；</w:t>
            </w:r>
          </w:p>
          <w:p>
            <w:pPr>
              <w:pStyle w:val="8"/>
              <w:widowControl/>
              <w:numPr>
                <w:ilvl w:val="0"/>
                <w:numId w:val="8"/>
              </w:numPr>
              <w:adjustRightInd w:val="0"/>
              <w:snapToGrid w:val="0"/>
              <w:spacing w:line="360" w:lineRule="auto"/>
              <w:rPr>
                <w:rFonts w:hint="eastAsia" w:ascii="Times New Roman" w:hAnsi="Times New Roman" w:eastAsia="宋体" w:cs="Times New Roman"/>
                <w:b w:val="0"/>
                <w:bCs w:val="0"/>
              </w:rPr>
            </w:pPr>
            <w:r>
              <w:rPr>
                <w:rFonts w:hint="eastAsia" w:ascii="Times New Roman" w:hAnsi="Times New Roman" w:eastAsia="宋体" w:cs="Times New Roman"/>
                <w:b w:val="0"/>
                <w:bCs w:val="0"/>
              </w:rPr>
              <w:t>管道等有关设施应按要求进行试压</w:t>
            </w:r>
            <w:r>
              <w:rPr>
                <w:rFonts w:hint="eastAsia" w:ascii="Times New Roman" w:hAnsi="Times New Roman" w:eastAsia="宋体" w:cs="Times New Roman"/>
                <w:b w:val="0"/>
                <w:bCs w:val="0"/>
                <w:lang w:eastAsia="zh-CN"/>
              </w:rPr>
              <w:t>；</w:t>
            </w:r>
          </w:p>
          <w:p>
            <w:pPr>
              <w:pStyle w:val="8"/>
              <w:widowControl/>
              <w:numPr>
                <w:ilvl w:val="0"/>
                <w:numId w:val="8"/>
              </w:numPr>
              <w:adjustRightInd w:val="0"/>
              <w:snapToGrid w:val="0"/>
              <w:spacing w:line="360" w:lineRule="auto"/>
              <w:rPr>
                <w:rFonts w:hint="eastAsia" w:ascii="Times New Roman" w:hAnsi="Times New Roman" w:eastAsia="宋体" w:cs="Times New Roman"/>
                <w:b w:val="0"/>
                <w:bCs w:val="0"/>
              </w:rPr>
            </w:pPr>
            <w:r>
              <w:rPr>
                <w:rFonts w:hint="eastAsia" w:ascii="Times New Roman" w:hAnsi="Times New Roman" w:eastAsia="宋体" w:cs="Times New Roman"/>
                <w:b w:val="0"/>
                <w:bCs w:val="0"/>
              </w:rPr>
              <w:t>对设备、管线、泵等定期检查、保养、维修</w:t>
            </w:r>
            <w:r>
              <w:rPr>
                <w:rFonts w:hint="eastAsia" w:ascii="Times New Roman" w:hAnsi="Times New Roman" w:eastAsia="宋体" w:cs="Times New Roman"/>
                <w:b w:val="0"/>
                <w:bCs w:val="0"/>
                <w:lang w:eastAsia="zh-CN"/>
              </w:rPr>
              <w:t>；</w:t>
            </w:r>
          </w:p>
          <w:p>
            <w:pPr>
              <w:pStyle w:val="8"/>
              <w:widowControl/>
              <w:numPr>
                <w:ilvl w:val="0"/>
                <w:numId w:val="8"/>
              </w:numPr>
              <w:adjustRightInd w:val="0"/>
              <w:snapToGrid w:val="0"/>
              <w:spacing w:line="360" w:lineRule="auto"/>
              <w:rPr>
                <w:rFonts w:hint="eastAsia" w:ascii="Times New Roman" w:hAnsi="Times New Roman" w:eastAsia="宋体" w:cs="Times New Roman"/>
                <w:b w:val="0"/>
                <w:bCs w:val="0"/>
              </w:rPr>
            </w:pPr>
            <w:r>
              <w:rPr>
                <w:rFonts w:hint="eastAsia" w:ascii="Times New Roman" w:hAnsi="Times New Roman" w:eastAsia="宋体" w:cs="Times New Roman"/>
                <w:b w:val="0"/>
                <w:bCs w:val="0"/>
              </w:rPr>
              <w:t>电器线路定期进行检查、维修、保养。</w:t>
            </w:r>
          </w:p>
          <w:p>
            <w:pPr>
              <w:pStyle w:val="8"/>
              <w:widowControl/>
              <w:adjustRightInd w:val="0"/>
              <w:snapToGrid w:val="0"/>
              <w:spacing w:line="360" w:lineRule="auto"/>
              <w:ind w:firstLine="480" w:firstLineChars="200"/>
              <w:rPr>
                <w:rFonts w:hint="eastAsia" w:ascii="Times New Roman" w:hAnsi="Times New Roman" w:eastAsia="宋体" w:cs="Times New Roman"/>
                <w:b w:val="0"/>
                <w:bCs w:val="0"/>
              </w:rPr>
            </w:pPr>
            <w:r>
              <w:rPr>
                <w:rFonts w:hint="eastAsia" w:ascii="Times New Roman" w:hAnsi="Times New Roman" w:eastAsia="宋体" w:cs="Times New Roman"/>
                <w:b w:val="0"/>
                <w:bCs w:val="0"/>
              </w:rPr>
              <w:t>③加强管理、严格纪律</w:t>
            </w:r>
          </w:p>
          <w:p>
            <w:pPr>
              <w:pStyle w:val="8"/>
              <w:widowControl/>
              <w:numPr>
                <w:ilvl w:val="0"/>
                <w:numId w:val="9"/>
              </w:numPr>
              <w:adjustRightInd w:val="0"/>
              <w:snapToGrid w:val="0"/>
              <w:spacing w:line="360" w:lineRule="auto"/>
              <w:rPr>
                <w:rFonts w:hint="eastAsia" w:ascii="Times New Roman" w:hAnsi="Times New Roman" w:eastAsia="宋体" w:cs="Times New Roman"/>
                <w:b w:val="0"/>
                <w:bCs w:val="0"/>
                <w:lang w:eastAsia="zh-CN"/>
              </w:rPr>
            </w:pPr>
            <w:r>
              <w:rPr>
                <w:rFonts w:hint="eastAsia" w:ascii="Times New Roman" w:hAnsi="Times New Roman" w:eastAsia="宋体" w:cs="Times New Roman"/>
                <w:b w:val="0"/>
                <w:bCs w:val="0"/>
              </w:rPr>
              <w:t>遵守各项规章制度和操作规程，严格执行岗位责任制</w:t>
            </w:r>
            <w:r>
              <w:rPr>
                <w:rFonts w:hint="eastAsia" w:ascii="Times New Roman" w:hAnsi="Times New Roman" w:eastAsia="宋体" w:cs="Times New Roman"/>
                <w:b w:val="0"/>
                <w:bCs w:val="0"/>
                <w:lang w:eastAsia="zh-CN"/>
              </w:rPr>
              <w:t>；</w:t>
            </w:r>
          </w:p>
          <w:p>
            <w:pPr>
              <w:pStyle w:val="8"/>
              <w:widowControl/>
              <w:numPr>
                <w:ilvl w:val="0"/>
                <w:numId w:val="9"/>
              </w:numPr>
              <w:adjustRightInd w:val="0"/>
              <w:snapToGrid w:val="0"/>
              <w:spacing w:line="360" w:lineRule="auto"/>
              <w:rPr>
                <w:rFonts w:hint="eastAsia" w:ascii="Times New Roman" w:hAnsi="Times New Roman" w:eastAsia="宋体" w:cs="Times New Roman"/>
                <w:b w:val="0"/>
                <w:bCs w:val="0"/>
              </w:rPr>
            </w:pPr>
            <w:r>
              <w:rPr>
                <w:rFonts w:hint="eastAsia" w:ascii="Times New Roman" w:hAnsi="Times New Roman" w:eastAsia="宋体" w:cs="Times New Roman"/>
                <w:b w:val="0"/>
                <w:bCs w:val="0"/>
              </w:rPr>
              <w:t>坚持巡回检查，发现问题及时处理，如通风、管线是否泄漏，消防通道、地沟是否通畅等</w:t>
            </w:r>
            <w:r>
              <w:rPr>
                <w:rFonts w:hint="eastAsia" w:ascii="Times New Roman" w:hAnsi="Times New Roman" w:eastAsia="宋体" w:cs="Times New Roman"/>
                <w:b w:val="0"/>
                <w:bCs w:val="0"/>
                <w:lang w:eastAsia="zh-CN"/>
              </w:rPr>
              <w:t>；</w:t>
            </w:r>
          </w:p>
          <w:p>
            <w:pPr>
              <w:pStyle w:val="8"/>
              <w:widowControl/>
              <w:numPr>
                <w:ilvl w:val="0"/>
                <w:numId w:val="9"/>
              </w:numPr>
              <w:adjustRightInd w:val="0"/>
              <w:snapToGrid w:val="0"/>
              <w:spacing w:line="360" w:lineRule="auto"/>
              <w:rPr>
                <w:rFonts w:hint="eastAsia" w:ascii="Times New Roman" w:hAnsi="Times New Roman" w:eastAsia="宋体" w:cs="Times New Roman"/>
                <w:b w:val="0"/>
                <w:bCs w:val="0"/>
              </w:rPr>
            </w:pPr>
            <w:r>
              <w:rPr>
                <w:rFonts w:hint="eastAsia" w:ascii="Times New Roman" w:hAnsi="Times New Roman" w:eastAsia="宋体" w:cs="Times New Roman"/>
                <w:b w:val="0"/>
                <w:bCs w:val="0"/>
              </w:rPr>
              <w:t>检修时，做好隔离，清洗干净，分析合格后，要有现场监护在通风良好的条件下方能动火</w:t>
            </w:r>
            <w:r>
              <w:rPr>
                <w:rFonts w:hint="eastAsia" w:ascii="Times New Roman" w:hAnsi="Times New Roman" w:eastAsia="宋体" w:cs="Times New Roman"/>
                <w:b w:val="0"/>
                <w:bCs w:val="0"/>
                <w:lang w:eastAsia="zh-CN"/>
              </w:rPr>
              <w:t>；</w:t>
            </w:r>
          </w:p>
          <w:p>
            <w:pPr>
              <w:pStyle w:val="8"/>
              <w:widowControl/>
              <w:numPr>
                <w:ilvl w:val="0"/>
                <w:numId w:val="9"/>
              </w:numPr>
              <w:adjustRightInd w:val="0"/>
              <w:snapToGrid w:val="0"/>
              <w:spacing w:line="360" w:lineRule="auto"/>
              <w:rPr>
                <w:rFonts w:hint="eastAsia" w:ascii="Times New Roman" w:hAnsi="Times New Roman" w:eastAsia="宋体" w:cs="Times New Roman"/>
                <w:b w:val="0"/>
                <w:bCs w:val="0"/>
              </w:rPr>
            </w:pPr>
            <w:r>
              <w:rPr>
                <w:rFonts w:hint="eastAsia" w:ascii="Times New Roman" w:hAnsi="Times New Roman" w:eastAsia="宋体" w:cs="Times New Roman"/>
                <w:b w:val="0"/>
                <w:bCs w:val="0"/>
              </w:rPr>
              <w:t>加强培训、教育和考核工作。</w:t>
            </w:r>
          </w:p>
          <w:p>
            <w:pPr>
              <w:pStyle w:val="8"/>
              <w:widowControl/>
              <w:adjustRightInd w:val="0"/>
              <w:snapToGrid w:val="0"/>
              <w:spacing w:line="360" w:lineRule="auto"/>
              <w:ind w:firstLine="480" w:firstLineChars="200"/>
              <w:rPr>
                <w:rFonts w:hint="eastAsia" w:ascii="Times New Roman" w:hAnsi="Times New Roman" w:eastAsia="宋体" w:cs="Times New Roman"/>
                <w:b w:val="0"/>
                <w:bCs w:val="0"/>
              </w:rPr>
            </w:pPr>
            <w:r>
              <w:rPr>
                <w:rFonts w:hint="eastAsia" w:ascii="Times New Roman" w:hAnsi="Times New Roman" w:eastAsia="宋体" w:cs="Times New Roman"/>
                <w:b w:val="0"/>
                <w:bCs w:val="0"/>
              </w:rPr>
              <w:t>④安全措施</w:t>
            </w:r>
          </w:p>
          <w:p>
            <w:pPr>
              <w:pStyle w:val="8"/>
              <w:widowControl/>
              <w:numPr>
                <w:ilvl w:val="0"/>
                <w:numId w:val="10"/>
              </w:numPr>
              <w:adjustRightInd w:val="0"/>
              <w:snapToGrid w:val="0"/>
              <w:spacing w:line="360" w:lineRule="auto"/>
              <w:rPr>
                <w:rFonts w:hint="eastAsia" w:ascii="Times New Roman" w:hAnsi="Times New Roman" w:eastAsia="宋体" w:cs="Times New Roman"/>
                <w:b w:val="0"/>
                <w:bCs w:val="0"/>
                <w:lang w:eastAsia="zh-CN"/>
              </w:rPr>
            </w:pPr>
            <w:r>
              <w:rPr>
                <w:rFonts w:hint="eastAsia" w:ascii="Times New Roman" w:hAnsi="Times New Roman" w:eastAsia="宋体" w:cs="Times New Roman"/>
                <w:b w:val="0"/>
                <w:bCs w:val="0"/>
              </w:rPr>
              <w:t>消防设施要保持完好</w:t>
            </w:r>
            <w:r>
              <w:rPr>
                <w:rFonts w:hint="eastAsia" w:ascii="Times New Roman" w:hAnsi="Times New Roman" w:eastAsia="宋体" w:cs="Times New Roman"/>
                <w:b w:val="0"/>
                <w:bCs w:val="0"/>
                <w:lang w:eastAsia="zh-CN"/>
              </w:rPr>
              <w:t>；</w:t>
            </w:r>
          </w:p>
          <w:p>
            <w:pPr>
              <w:pStyle w:val="8"/>
              <w:widowControl/>
              <w:numPr>
                <w:ilvl w:val="0"/>
                <w:numId w:val="10"/>
              </w:numPr>
              <w:adjustRightInd w:val="0"/>
              <w:snapToGrid w:val="0"/>
              <w:spacing w:line="360" w:lineRule="auto"/>
              <w:rPr>
                <w:rFonts w:hint="eastAsia" w:ascii="Times New Roman" w:hAnsi="Times New Roman" w:eastAsia="宋体" w:cs="Times New Roman"/>
                <w:b w:val="0"/>
                <w:bCs w:val="0"/>
              </w:rPr>
            </w:pPr>
            <w:r>
              <w:rPr>
                <w:rFonts w:hint="eastAsia" w:ascii="Times New Roman" w:hAnsi="Times New Roman" w:eastAsia="宋体" w:cs="Times New Roman"/>
                <w:b w:val="0"/>
                <w:bCs w:val="0"/>
              </w:rPr>
              <w:t>要正确佩戴相应的劳防用品和正确使用防毒过滤器等防护用具</w:t>
            </w:r>
            <w:r>
              <w:rPr>
                <w:rFonts w:hint="eastAsia" w:ascii="Times New Roman" w:hAnsi="Times New Roman" w:eastAsia="宋体" w:cs="Times New Roman"/>
                <w:b w:val="0"/>
                <w:bCs w:val="0"/>
                <w:lang w:eastAsia="zh-CN"/>
              </w:rPr>
              <w:t>；</w:t>
            </w:r>
          </w:p>
          <w:p>
            <w:pPr>
              <w:pStyle w:val="8"/>
              <w:widowControl/>
              <w:numPr>
                <w:ilvl w:val="0"/>
                <w:numId w:val="10"/>
              </w:numPr>
              <w:adjustRightInd w:val="0"/>
              <w:snapToGrid w:val="0"/>
              <w:spacing w:line="360" w:lineRule="auto"/>
              <w:rPr>
                <w:rFonts w:hint="eastAsia" w:ascii="Times New Roman" w:hAnsi="Times New Roman" w:eastAsia="宋体" w:cs="Times New Roman"/>
                <w:b w:val="0"/>
                <w:bCs w:val="0"/>
              </w:rPr>
            </w:pPr>
            <w:r>
              <w:rPr>
                <w:rFonts w:hint="eastAsia" w:ascii="Times New Roman" w:hAnsi="Times New Roman" w:eastAsia="宋体" w:cs="Times New Roman"/>
                <w:b w:val="0"/>
                <w:bCs w:val="0"/>
              </w:rPr>
              <w:t>搬运时轻装轻卸，防止包装破损</w:t>
            </w:r>
            <w:r>
              <w:rPr>
                <w:rFonts w:hint="eastAsia" w:ascii="Times New Roman" w:hAnsi="Times New Roman" w:eastAsia="宋体" w:cs="Times New Roman"/>
                <w:b w:val="0"/>
                <w:bCs w:val="0"/>
                <w:lang w:eastAsia="zh-CN"/>
              </w:rPr>
              <w:t>；</w:t>
            </w:r>
          </w:p>
          <w:p>
            <w:pPr>
              <w:pStyle w:val="8"/>
              <w:widowControl/>
              <w:numPr>
                <w:ilvl w:val="0"/>
                <w:numId w:val="10"/>
              </w:numPr>
              <w:adjustRightInd w:val="0"/>
              <w:snapToGrid w:val="0"/>
              <w:spacing w:line="360" w:lineRule="auto"/>
              <w:rPr>
                <w:rFonts w:hint="eastAsia" w:ascii="Times New Roman" w:hAnsi="Times New Roman" w:eastAsia="宋体" w:cs="Times New Roman"/>
                <w:b w:val="0"/>
                <w:bCs w:val="0"/>
              </w:rPr>
            </w:pPr>
            <w:r>
              <w:rPr>
                <w:rFonts w:hint="eastAsia" w:ascii="Times New Roman" w:hAnsi="Times New Roman" w:eastAsia="宋体" w:cs="Times New Roman"/>
                <w:b w:val="0"/>
                <w:bCs w:val="0"/>
              </w:rPr>
              <w:t>采取必要的防静电措施。</w:t>
            </w:r>
          </w:p>
          <w:p>
            <w:pPr>
              <w:pStyle w:val="8"/>
              <w:widowControl/>
              <w:adjustRightInd w:val="0"/>
              <w:snapToGrid w:val="0"/>
              <w:spacing w:line="360" w:lineRule="auto"/>
              <w:ind w:firstLine="482" w:firstLineChars="200"/>
              <w:rPr>
                <w:rFonts w:hint="eastAsia" w:ascii="Times New Roman" w:hAnsi="Times New Roman" w:eastAsia="宋体"/>
                <w:b/>
                <w:bCs/>
              </w:rPr>
            </w:pPr>
            <w:r>
              <w:rPr>
                <w:rFonts w:hint="eastAsia" w:ascii="Times New Roman" w:hAnsi="Times New Roman" w:eastAsia="宋体"/>
                <w:b/>
                <w:bCs/>
              </w:rPr>
              <w:t>2）突发事故对策和应急预案</w:t>
            </w:r>
          </w:p>
          <w:p>
            <w:pPr>
              <w:adjustRightInd w:val="0"/>
              <w:snapToGrid w:val="0"/>
              <w:spacing w:line="360" w:lineRule="auto"/>
              <w:ind w:firstLine="480" w:firstLineChars="200"/>
              <w:rPr>
                <w:sz w:val="24"/>
              </w:rPr>
            </w:pPr>
            <w:r>
              <w:rPr>
                <w:sz w:val="24"/>
              </w:rPr>
              <w:t>当发生火灾爆炸等事故后，由公司应急救援领导小组根据事故情况，对事故的影响和危害性进行判断，若为一般事故，只需启动一级应急救援相关程序，由现场值班的专职、兼职消防人员以及操作人员组成一级应急队伍，开展抢险救援行动。若事故规模较大、危害较严重，应急救援领导小组应迅速成立现场应急救援指挥部，由公司经理以及专业人员组成，并根据事故现场抢险救援的需要，在专职和兼职应急救援人员的基础上，组建各抢险救援、医疗救护、警戒、通讯、信息发布等专业队伍，全面投入应急救援行动中。</w:t>
            </w:r>
          </w:p>
          <w:p>
            <w:pPr>
              <w:adjustRightInd w:val="0"/>
              <w:snapToGrid w:val="0"/>
              <w:spacing w:line="360" w:lineRule="auto"/>
              <w:ind w:firstLine="480" w:firstLineChars="200"/>
              <w:rPr>
                <w:sz w:val="24"/>
              </w:rPr>
            </w:pPr>
            <w:r>
              <w:rPr>
                <w:sz w:val="24"/>
              </w:rPr>
              <w:t>公司应根据下表的详细要求制定突发事故对策和应急预案，一旦出现突发事故，必须按事先拟定的方案进行紧急处理。应急对策和预案的内容及要求如下表：</w:t>
            </w:r>
          </w:p>
          <w:p>
            <w:pPr>
              <w:ind w:left="63" w:leftChars="30" w:right="63" w:rightChars="30"/>
              <w:jc w:val="center"/>
              <w:rPr>
                <w:b/>
                <w:sz w:val="24"/>
              </w:rPr>
            </w:pPr>
            <w:r>
              <w:rPr>
                <w:b/>
                <w:sz w:val="24"/>
              </w:rPr>
              <w:t>表4</w:t>
            </w:r>
            <w:r>
              <w:rPr>
                <w:rFonts w:hint="eastAsia"/>
                <w:b/>
                <w:sz w:val="24"/>
              </w:rPr>
              <w:t>-</w:t>
            </w:r>
            <w:r>
              <w:rPr>
                <w:rFonts w:hint="eastAsia"/>
                <w:b/>
                <w:sz w:val="24"/>
                <w:lang w:val="en-US" w:eastAsia="zh-CN"/>
              </w:rPr>
              <w:t>13</w:t>
            </w:r>
            <w:r>
              <w:rPr>
                <w:b/>
                <w:sz w:val="24"/>
              </w:rPr>
              <w:t xml:space="preserve"> </w:t>
            </w:r>
            <w:r>
              <w:rPr>
                <w:rFonts w:hint="eastAsia"/>
                <w:b/>
                <w:sz w:val="24"/>
              </w:rPr>
              <w:t xml:space="preserve"> </w:t>
            </w:r>
            <w:r>
              <w:rPr>
                <w:b/>
                <w:sz w:val="24"/>
              </w:rPr>
              <w:t>应急预案内容</w:t>
            </w:r>
          </w:p>
          <w:tbl>
            <w:tblPr>
              <w:tblStyle w:val="23"/>
              <w:tblW w:w="8312" w:type="dxa"/>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108" w:type="dxa"/>
                <w:bottom w:w="0" w:type="dxa"/>
                <w:right w:w="108" w:type="dxa"/>
              </w:tblCellMar>
            </w:tblPr>
            <w:tblGrid>
              <w:gridCol w:w="785"/>
              <w:gridCol w:w="2275"/>
              <w:gridCol w:w="5252"/>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noWrap w:val="0"/>
                  <w:vAlign w:val="center"/>
                </w:tcPr>
                <w:p>
                  <w:pPr>
                    <w:adjustRightInd w:val="0"/>
                    <w:snapToGrid w:val="0"/>
                    <w:jc w:val="center"/>
                    <w:rPr>
                      <w:b/>
                      <w:bCs/>
                      <w:szCs w:val="21"/>
                    </w:rPr>
                  </w:pPr>
                  <w:r>
                    <w:rPr>
                      <w:b/>
                      <w:bCs/>
                      <w:szCs w:val="21"/>
                    </w:rPr>
                    <w:t>序号</w:t>
                  </w:r>
                </w:p>
              </w:tc>
              <w:tc>
                <w:tcPr>
                  <w:tcW w:w="2275" w:type="dxa"/>
                  <w:noWrap w:val="0"/>
                  <w:vAlign w:val="center"/>
                </w:tcPr>
                <w:p>
                  <w:pPr>
                    <w:adjustRightInd w:val="0"/>
                    <w:snapToGrid w:val="0"/>
                    <w:jc w:val="center"/>
                    <w:rPr>
                      <w:b/>
                      <w:bCs/>
                      <w:szCs w:val="21"/>
                    </w:rPr>
                  </w:pPr>
                  <w:r>
                    <w:rPr>
                      <w:b/>
                      <w:bCs/>
                      <w:szCs w:val="21"/>
                    </w:rPr>
                    <w:t>项目</w:t>
                  </w:r>
                </w:p>
              </w:tc>
              <w:tc>
                <w:tcPr>
                  <w:tcW w:w="5252" w:type="dxa"/>
                  <w:noWrap w:val="0"/>
                  <w:vAlign w:val="center"/>
                </w:tcPr>
                <w:p>
                  <w:pPr>
                    <w:adjustRightInd w:val="0"/>
                    <w:snapToGrid w:val="0"/>
                    <w:jc w:val="center"/>
                    <w:rPr>
                      <w:b/>
                      <w:bCs/>
                      <w:szCs w:val="21"/>
                    </w:rPr>
                  </w:pPr>
                  <w:r>
                    <w:rPr>
                      <w:b/>
                      <w:bCs/>
                      <w:szCs w:val="21"/>
                    </w:rPr>
                    <w:t>内容及要求</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noWrap w:val="0"/>
                  <w:vAlign w:val="center"/>
                </w:tcPr>
                <w:p>
                  <w:pPr>
                    <w:adjustRightInd w:val="0"/>
                    <w:snapToGrid w:val="0"/>
                    <w:jc w:val="center"/>
                    <w:rPr>
                      <w:szCs w:val="21"/>
                    </w:rPr>
                  </w:pPr>
                  <w:r>
                    <w:rPr>
                      <w:szCs w:val="21"/>
                    </w:rPr>
                    <w:t>1</w:t>
                  </w:r>
                </w:p>
              </w:tc>
              <w:tc>
                <w:tcPr>
                  <w:tcW w:w="2275" w:type="dxa"/>
                  <w:noWrap w:val="0"/>
                  <w:vAlign w:val="center"/>
                </w:tcPr>
                <w:p>
                  <w:pPr>
                    <w:adjustRightInd w:val="0"/>
                    <w:snapToGrid w:val="0"/>
                    <w:jc w:val="center"/>
                    <w:rPr>
                      <w:szCs w:val="21"/>
                    </w:rPr>
                  </w:pPr>
                  <w:r>
                    <w:rPr>
                      <w:szCs w:val="21"/>
                    </w:rPr>
                    <w:t>应急计划区</w:t>
                  </w:r>
                </w:p>
              </w:tc>
              <w:tc>
                <w:tcPr>
                  <w:tcW w:w="5252" w:type="dxa"/>
                  <w:noWrap w:val="0"/>
                  <w:vAlign w:val="center"/>
                </w:tcPr>
                <w:p>
                  <w:pPr>
                    <w:adjustRightInd w:val="0"/>
                    <w:snapToGrid w:val="0"/>
                    <w:jc w:val="center"/>
                    <w:rPr>
                      <w:szCs w:val="21"/>
                    </w:rPr>
                  </w:pPr>
                  <w:r>
                    <w:rPr>
                      <w:szCs w:val="21"/>
                    </w:rPr>
                    <w:t>危险目标：</w:t>
                  </w:r>
                  <w:r>
                    <w:rPr>
                      <w:rFonts w:hint="eastAsia"/>
                      <w:szCs w:val="21"/>
                    </w:rPr>
                    <w:t>生产车间</w:t>
                  </w:r>
                  <w:r>
                    <w:rPr>
                      <w:rFonts w:hint="eastAsia"/>
                      <w:szCs w:val="21"/>
                      <w:lang w:eastAsia="zh-CN"/>
                    </w:rPr>
                    <w:t>、</w:t>
                  </w:r>
                  <w:r>
                    <w:rPr>
                      <w:rFonts w:hint="eastAsia"/>
                      <w:szCs w:val="21"/>
                      <w:lang w:val="en-US" w:eastAsia="zh-CN"/>
                    </w:rPr>
                    <w:t>危废仓库</w:t>
                  </w:r>
                  <w:r>
                    <w:rPr>
                      <w:szCs w:val="21"/>
                    </w:rPr>
                    <w:t>等</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noWrap w:val="0"/>
                  <w:vAlign w:val="center"/>
                </w:tcPr>
                <w:p>
                  <w:pPr>
                    <w:adjustRightInd w:val="0"/>
                    <w:snapToGrid w:val="0"/>
                    <w:jc w:val="center"/>
                    <w:rPr>
                      <w:szCs w:val="21"/>
                    </w:rPr>
                  </w:pPr>
                  <w:r>
                    <w:rPr>
                      <w:szCs w:val="21"/>
                    </w:rPr>
                    <w:t>2</w:t>
                  </w:r>
                </w:p>
              </w:tc>
              <w:tc>
                <w:tcPr>
                  <w:tcW w:w="2275" w:type="dxa"/>
                  <w:noWrap w:val="0"/>
                  <w:vAlign w:val="center"/>
                </w:tcPr>
                <w:p>
                  <w:pPr>
                    <w:adjustRightInd w:val="0"/>
                    <w:snapToGrid w:val="0"/>
                    <w:jc w:val="center"/>
                    <w:rPr>
                      <w:szCs w:val="21"/>
                    </w:rPr>
                  </w:pPr>
                  <w:r>
                    <w:rPr>
                      <w:szCs w:val="21"/>
                    </w:rPr>
                    <w:t>应急组织机构、人员</w:t>
                  </w:r>
                </w:p>
              </w:tc>
              <w:tc>
                <w:tcPr>
                  <w:tcW w:w="5252" w:type="dxa"/>
                  <w:noWrap w:val="0"/>
                  <w:vAlign w:val="center"/>
                </w:tcPr>
                <w:p>
                  <w:pPr>
                    <w:adjustRightInd w:val="0"/>
                    <w:snapToGrid w:val="0"/>
                    <w:jc w:val="center"/>
                    <w:rPr>
                      <w:szCs w:val="21"/>
                    </w:rPr>
                  </w:pPr>
                  <w:r>
                    <w:rPr>
                      <w:szCs w:val="21"/>
                    </w:rPr>
                    <w:t>工厂、地区应急组织机构、人员</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noWrap w:val="0"/>
                  <w:vAlign w:val="center"/>
                </w:tcPr>
                <w:p>
                  <w:pPr>
                    <w:adjustRightInd w:val="0"/>
                    <w:snapToGrid w:val="0"/>
                    <w:jc w:val="center"/>
                    <w:rPr>
                      <w:szCs w:val="21"/>
                    </w:rPr>
                  </w:pPr>
                  <w:r>
                    <w:rPr>
                      <w:szCs w:val="21"/>
                    </w:rPr>
                    <w:t>3</w:t>
                  </w:r>
                </w:p>
              </w:tc>
              <w:tc>
                <w:tcPr>
                  <w:tcW w:w="2275" w:type="dxa"/>
                  <w:noWrap w:val="0"/>
                  <w:vAlign w:val="center"/>
                </w:tcPr>
                <w:p>
                  <w:pPr>
                    <w:adjustRightInd w:val="0"/>
                    <w:snapToGrid w:val="0"/>
                    <w:jc w:val="center"/>
                    <w:rPr>
                      <w:szCs w:val="21"/>
                    </w:rPr>
                  </w:pPr>
                  <w:r>
                    <w:rPr>
                      <w:szCs w:val="21"/>
                    </w:rPr>
                    <w:t>预案分级响应条件</w:t>
                  </w:r>
                </w:p>
              </w:tc>
              <w:tc>
                <w:tcPr>
                  <w:tcW w:w="5252" w:type="dxa"/>
                  <w:noWrap w:val="0"/>
                  <w:vAlign w:val="center"/>
                </w:tcPr>
                <w:p>
                  <w:pPr>
                    <w:adjustRightInd w:val="0"/>
                    <w:snapToGrid w:val="0"/>
                    <w:jc w:val="center"/>
                    <w:rPr>
                      <w:szCs w:val="21"/>
                    </w:rPr>
                  </w:pPr>
                  <w:r>
                    <w:rPr>
                      <w:szCs w:val="21"/>
                    </w:rPr>
                    <w:t>规定预案的级别及分级响应程序</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noWrap w:val="0"/>
                  <w:vAlign w:val="center"/>
                </w:tcPr>
                <w:p>
                  <w:pPr>
                    <w:adjustRightInd w:val="0"/>
                    <w:snapToGrid w:val="0"/>
                    <w:jc w:val="center"/>
                    <w:rPr>
                      <w:szCs w:val="21"/>
                    </w:rPr>
                  </w:pPr>
                  <w:r>
                    <w:rPr>
                      <w:szCs w:val="21"/>
                    </w:rPr>
                    <w:t>4</w:t>
                  </w:r>
                </w:p>
              </w:tc>
              <w:tc>
                <w:tcPr>
                  <w:tcW w:w="2275" w:type="dxa"/>
                  <w:noWrap w:val="0"/>
                  <w:vAlign w:val="center"/>
                </w:tcPr>
                <w:p>
                  <w:pPr>
                    <w:adjustRightInd w:val="0"/>
                    <w:snapToGrid w:val="0"/>
                    <w:jc w:val="center"/>
                    <w:rPr>
                      <w:szCs w:val="21"/>
                    </w:rPr>
                  </w:pPr>
                  <w:r>
                    <w:rPr>
                      <w:szCs w:val="21"/>
                    </w:rPr>
                    <w:t>应急救援保障</w:t>
                  </w:r>
                </w:p>
              </w:tc>
              <w:tc>
                <w:tcPr>
                  <w:tcW w:w="5252" w:type="dxa"/>
                  <w:noWrap w:val="0"/>
                  <w:vAlign w:val="center"/>
                </w:tcPr>
                <w:p>
                  <w:pPr>
                    <w:adjustRightInd w:val="0"/>
                    <w:snapToGrid w:val="0"/>
                    <w:jc w:val="center"/>
                    <w:rPr>
                      <w:szCs w:val="21"/>
                    </w:rPr>
                  </w:pPr>
                  <w:r>
                    <w:rPr>
                      <w:szCs w:val="21"/>
                    </w:rPr>
                    <w:t>应急设施，设备与器材等</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noWrap w:val="0"/>
                  <w:vAlign w:val="center"/>
                </w:tcPr>
                <w:p>
                  <w:pPr>
                    <w:adjustRightInd w:val="0"/>
                    <w:snapToGrid w:val="0"/>
                    <w:jc w:val="center"/>
                    <w:rPr>
                      <w:szCs w:val="21"/>
                    </w:rPr>
                  </w:pPr>
                  <w:r>
                    <w:rPr>
                      <w:szCs w:val="21"/>
                    </w:rPr>
                    <w:t>5</w:t>
                  </w:r>
                </w:p>
              </w:tc>
              <w:tc>
                <w:tcPr>
                  <w:tcW w:w="2275" w:type="dxa"/>
                  <w:noWrap w:val="0"/>
                  <w:vAlign w:val="center"/>
                </w:tcPr>
                <w:p>
                  <w:pPr>
                    <w:adjustRightInd w:val="0"/>
                    <w:snapToGrid w:val="0"/>
                    <w:jc w:val="center"/>
                    <w:rPr>
                      <w:szCs w:val="21"/>
                    </w:rPr>
                  </w:pPr>
                  <w:r>
                    <w:rPr>
                      <w:szCs w:val="21"/>
                    </w:rPr>
                    <w:t>报警、通讯联络方式</w:t>
                  </w:r>
                </w:p>
              </w:tc>
              <w:tc>
                <w:tcPr>
                  <w:tcW w:w="5252" w:type="dxa"/>
                  <w:noWrap w:val="0"/>
                  <w:vAlign w:val="center"/>
                </w:tcPr>
                <w:p>
                  <w:pPr>
                    <w:adjustRightInd w:val="0"/>
                    <w:snapToGrid w:val="0"/>
                    <w:jc w:val="center"/>
                    <w:rPr>
                      <w:szCs w:val="21"/>
                    </w:rPr>
                  </w:pPr>
                  <w:r>
                    <w:rPr>
                      <w:szCs w:val="21"/>
                    </w:rPr>
                    <w:t>规定应急状态下的报警通讯方式、通知方式和交通保障、管制</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noWrap w:val="0"/>
                  <w:vAlign w:val="center"/>
                </w:tcPr>
                <w:p>
                  <w:pPr>
                    <w:adjustRightInd w:val="0"/>
                    <w:snapToGrid w:val="0"/>
                    <w:jc w:val="center"/>
                    <w:rPr>
                      <w:szCs w:val="21"/>
                    </w:rPr>
                  </w:pPr>
                  <w:r>
                    <w:rPr>
                      <w:szCs w:val="21"/>
                    </w:rPr>
                    <w:t>6</w:t>
                  </w:r>
                </w:p>
              </w:tc>
              <w:tc>
                <w:tcPr>
                  <w:tcW w:w="2275" w:type="dxa"/>
                  <w:noWrap w:val="0"/>
                  <w:vAlign w:val="center"/>
                </w:tcPr>
                <w:p>
                  <w:pPr>
                    <w:adjustRightInd w:val="0"/>
                    <w:snapToGrid w:val="0"/>
                    <w:jc w:val="center"/>
                    <w:rPr>
                      <w:szCs w:val="21"/>
                    </w:rPr>
                  </w:pPr>
                  <w:r>
                    <w:rPr>
                      <w:szCs w:val="21"/>
                    </w:rPr>
                    <w:t>应急环境监测、抢险、救援及控制措施</w:t>
                  </w:r>
                </w:p>
              </w:tc>
              <w:tc>
                <w:tcPr>
                  <w:tcW w:w="5252" w:type="dxa"/>
                  <w:noWrap w:val="0"/>
                  <w:vAlign w:val="center"/>
                </w:tcPr>
                <w:p>
                  <w:pPr>
                    <w:adjustRightInd w:val="0"/>
                    <w:snapToGrid w:val="0"/>
                    <w:jc w:val="center"/>
                    <w:rPr>
                      <w:szCs w:val="21"/>
                    </w:rPr>
                  </w:pPr>
                  <w:r>
                    <w:rPr>
                      <w:szCs w:val="21"/>
                    </w:rPr>
                    <w:t>由专业队伍负责对事故现场进行侦察监测，对事故性质、参数与后果进行评估，为指挥部门提供决策依据</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noWrap w:val="0"/>
                  <w:vAlign w:val="center"/>
                </w:tcPr>
                <w:p>
                  <w:pPr>
                    <w:adjustRightInd w:val="0"/>
                    <w:snapToGrid w:val="0"/>
                    <w:jc w:val="center"/>
                    <w:rPr>
                      <w:szCs w:val="21"/>
                    </w:rPr>
                  </w:pPr>
                  <w:r>
                    <w:rPr>
                      <w:szCs w:val="21"/>
                    </w:rPr>
                    <w:t>7</w:t>
                  </w:r>
                </w:p>
              </w:tc>
              <w:tc>
                <w:tcPr>
                  <w:tcW w:w="2275" w:type="dxa"/>
                  <w:noWrap w:val="0"/>
                  <w:vAlign w:val="center"/>
                </w:tcPr>
                <w:p>
                  <w:pPr>
                    <w:adjustRightInd w:val="0"/>
                    <w:snapToGrid w:val="0"/>
                    <w:jc w:val="center"/>
                    <w:rPr>
                      <w:szCs w:val="21"/>
                    </w:rPr>
                  </w:pPr>
                  <w:r>
                    <w:rPr>
                      <w:szCs w:val="21"/>
                    </w:rPr>
                    <w:t>应急检测、防护措施、器材</w:t>
                  </w:r>
                </w:p>
              </w:tc>
              <w:tc>
                <w:tcPr>
                  <w:tcW w:w="5252" w:type="dxa"/>
                  <w:noWrap w:val="0"/>
                  <w:vAlign w:val="center"/>
                </w:tcPr>
                <w:p>
                  <w:pPr>
                    <w:adjustRightInd w:val="0"/>
                    <w:snapToGrid w:val="0"/>
                    <w:jc w:val="center"/>
                    <w:rPr>
                      <w:szCs w:val="21"/>
                    </w:rPr>
                  </w:pPr>
                  <w:r>
                    <w:rPr>
                      <w:szCs w:val="21"/>
                    </w:rPr>
                    <w:t>事故现场、邻近区域、控制防火区域，控制和清除污染措施及相应设备</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noWrap w:val="0"/>
                  <w:vAlign w:val="center"/>
                </w:tcPr>
                <w:p>
                  <w:pPr>
                    <w:adjustRightInd w:val="0"/>
                    <w:snapToGrid w:val="0"/>
                    <w:jc w:val="center"/>
                    <w:rPr>
                      <w:szCs w:val="21"/>
                    </w:rPr>
                  </w:pPr>
                  <w:r>
                    <w:rPr>
                      <w:szCs w:val="21"/>
                    </w:rPr>
                    <w:t>8</w:t>
                  </w:r>
                </w:p>
              </w:tc>
              <w:tc>
                <w:tcPr>
                  <w:tcW w:w="2275" w:type="dxa"/>
                  <w:noWrap w:val="0"/>
                  <w:vAlign w:val="center"/>
                </w:tcPr>
                <w:p>
                  <w:pPr>
                    <w:adjustRightInd w:val="0"/>
                    <w:snapToGrid w:val="0"/>
                    <w:jc w:val="center"/>
                    <w:rPr>
                      <w:szCs w:val="21"/>
                    </w:rPr>
                  </w:pPr>
                  <w:r>
                    <w:rPr>
                      <w:szCs w:val="21"/>
                    </w:rPr>
                    <w:t>人员紧急撤离、疏散，应急剂量控制、撤离组织计划</w:t>
                  </w:r>
                </w:p>
              </w:tc>
              <w:tc>
                <w:tcPr>
                  <w:tcW w:w="5252" w:type="dxa"/>
                  <w:noWrap w:val="0"/>
                  <w:vAlign w:val="center"/>
                </w:tcPr>
                <w:p>
                  <w:pPr>
                    <w:adjustRightInd w:val="0"/>
                    <w:snapToGrid w:val="0"/>
                    <w:jc w:val="center"/>
                    <w:rPr>
                      <w:szCs w:val="21"/>
                    </w:rPr>
                  </w:pPr>
                  <w:r>
                    <w:rPr>
                      <w:szCs w:val="21"/>
                    </w:rPr>
                    <w:t>事故现场、工厂邻近区、受事故影响的区域人员及公众对毒物应急剂量控制规定，撤离组织计划及救护，医疗救护与公众健康</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noWrap w:val="0"/>
                  <w:vAlign w:val="center"/>
                </w:tcPr>
                <w:p>
                  <w:pPr>
                    <w:adjustRightInd w:val="0"/>
                    <w:snapToGrid w:val="0"/>
                    <w:jc w:val="center"/>
                    <w:rPr>
                      <w:szCs w:val="21"/>
                    </w:rPr>
                  </w:pPr>
                  <w:r>
                    <w:rPr>
                      <w:szCs w:val="21"/>
                    </w:rPr>
                    <w:t>9</w:t>
                  </w:r>
                </w:p>
              </w:tc>
              <w:tc>
                <w:tcPr>
                  <w:tcW w:w="2275" w:type="dxa"/>
                  <w:noWrap w:val="0"/>
                  <w:vAlign w:val="center"/>
                </w:tcPr>
                <w:p>
                  <w:pPr>
                    <w:adjustRightInd w:val="0"/>
                    <w:snapToGrid w:val="0"/>
                    <w:jc w:val="center"/>
                    <w:rPr>
                      <w:szCs w:val="21"/>
                    </w:rPr>
                  </w:pPr>
                  <w:r>
                    <w:rPr>
                      <w:szCs w:val="21"/>
                    </w:rPr>
                    <w:t>事故应急救援关闭程序与恢复措施</w:t>
                  </w:r>
                </w:p>
              </w:tc>
              <w:tc>
                <w:tcPr>
                  <w:tcW w:w="5252" w:type="dxa"/>
                  <w:noWrap w:val="0"/>
                  <w:vAlign w:val="center"/>
                </w:tcPr>
                <w:p>
                  <w:pPr>
                    <w:adjustRightInd w:val="0"/>
                    <w:snapToGrid w:val="0"/>
                    <w:jc w:val="center"/>
                    <w:rPr>
                      <w:szCs w:val="21"/>
                    </w:rPr>
                  </w:pPr>
                  <w:r>
                    <w:rPr>
                      <w:szCs w:val="21"/>
                    </w:rPr>
                    <w:t>规定应急状态终止程序</w:t>
                  </w:r>
                </w:p>
                <w:p>
                  <w:pPr>
                    <w:adjustRightInd w:val="0"/>
                    <w:snapToGrid w:val="0"/>
                    <w:jc w:val="center"/>
                    <w:rPr>
                      <w:szCs w:val="21"/>
                    </w:rPr>
                  </w:pPr>
                  <w:r>
                    <w:rPr>
                      <w:szCs w:val="21"/>
                    </w:rPr>
                    <w:t>事故现场善后处理，恢复措施</w:t>
                  </w:r>
                </w:p>
                <w:p>
                  <w:pPr>
                    <w:adjustRightInd w:val="0"/>
                    <w:snapToGrid w:val="0"/>
                    <w:jc w:val="center"/>
                    <w:rPr>
                      <w:szCs w:val="21"/>
                    </w:rPr>
                  </w:pPr>
                  <w:r>
                    <w:rPr>
                      <w:szCs w:val="21"/>
                    </w:rPr>
                    <w:t>邻近区域解除事故警戒及善后恢复措施</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noWrap w:val="0"/>
                  <w:vAlign w:val="center"/>
                </w:tcPr>
                <w:p>
                  <w:pPr>
                    <w:adjustRightInd w:val="0"/>
                    <w:snapToGrid w:val="0"/>
                    <w:jc w:val="center"/>
                    <w:rPr>
                      <w:szCs w:val="21"/>
                    </w:rPr>
                  </w:pPr>
                  <w:r>
                    <w:rPr>
                      <w:szCs w:val="21"/>
                    </w:rPr>
                    <w:t>10</w:t>
                  </w:r>
                </w:p>
              </w:tc>
              <w:tc>
                <w:tcPr>
                  <w:tcW w:w="2275" w:type="dxa"/>
                  <w:noWrap w:val="0"/>
                  <w:vAlign w:val="center"/>
                </w:tcPr>
                <w:p>
                  <w:pPr>
                    <w:adjustRightInd w:val="0"/>
                    <w:snapToGrid w:val="0"/>
                    <w:jc w:val="center"/>
                    <w:rPr>
                      <w:szCs w:val="21"/>
                    </w:rPr>
                  </w:pPr>
                  <w:r>
                    <w:rPr>
                      <w:szCs w:val="21"/>
                    </w:rPr>
                    <w:t>应急培训计划</w:t>
                  </w:r>
                </w:p>
              </w:tc>
              <w:tc>
                <w:tcPr>
                  <w:tcW w:w="5252" w:type="dxa"/>
                  <w:noWrap w:val="0"/>
                  <w:vAlign w:val="center"/>
                </w:tcPr>
                <w:p>
                  <w:pPr>
                    <w:adjustRightInd w:val="0"/>
                    <w:snapToGrid w:val="0"/>
                    <w:jc w:val="center"/>
                    <w:rPr>
                      <w:szCs w:val="21"/>
                    </w:rPr>
                  </w:pPr>
                  <w:r>
                    <w:rPr>
                      <w:szCs w:val="21"/>
                    </w:rPr>
                    <w:t>应急计划制定后，平时安排人员培训与演练</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noWrap w:val="0"/>
                  <w:vAlign w:val="center"/>
                </w:tcPr>
                <w:p>
                  <w:pPr>
                    <w:adjustRightInd w:val="0"/>
                    <w:snapToGrid w:val="0"/>
                    <w:jc w:val="center"/>
                    <w:rPr>
                      <w:szCs w:val="21"/>
                    </w:rPr>
                  </w:pPr>
                  <w:r>
                    <w:rPr>
                      <w:szCs w:val="21"/>
                    </w:rPr>
                    <w:t>11</w:t>
                  </w:r>
                </w:p>
              </w:tc>
              <w:tc>
                <w:tcPr>
                  <w:tcW w:w="2275" w:type="dxa"/>
                  <w:noWrap w:val="0"/>
                  <w:vAlign w:val="center"/>
                </w:tcPr>
                <w:p>
                  <w:pPr>
                    <w:adjustRightInd w:val="0"/>
                    <w:snapToGrid w:val="0"/>
                    <w:jc w:val="center"/>
                    <w:rPr>
                      <w:szCs w:val="21"/>
                    </w:rPr>
                  </w:pPr>
                  <w:r>
                    <w:rPr>
                      <w:szCs w:val="21"/>
                    </w:rPr>
                    <w:t>公众教育和信息</w:t>
                  </w:r>
                </w:p>
              </w:tc>
              <w:tc>
                <w:tcPr>
                  <w:tcW w:w="5252" w:type="dxa"/>
                  <w:noWrap w:val="0"/>
                  <w:vAlign w:val="center"/>
                </w:tcPr>
                <w:p>
                  <w:pPr>
                    <w:adjustRightInd w:val="0"/>
                    <w:snapToGrid w:val="0"/>
                    <w:jc w:val="center"/>
                    <w:rPr>
                      <w:szCs w:val="21"/>
                    </w:rPr>
                  </w:pPr>
                  <w:r>
                    <w:rPr>
                      <w:szCs w:val="21"/>
                    </w:rPr>
                    <w:t>对厂区邻近地区开展公众教育、培训和发布有关信息</w:t>
                  </w:r>
                </w:p>
              </w:tc>
            </w:tr>
          </w:tbl>
          <w:p>
            <w:pPr>
              <w:adjustRightInd w:val="0"/>
              <w:snapToGrid w:val="0"/>
              <w:spacing w:before="120" w:beforeLines="50" w:line="360" w:lineRule="auto"/>
              <w:ind w:firstLine="480" w:firstLineChars="200"/>
              <w:rPr>
                <w:b/>
                <w:color w:val="0000FF"/>
                <w:sz w:val="24"/>
              </w:rPr>
            </w:pPr>
            <w:r>
              <w:rPr>
                <w:bCs/>
                <w:sz w:val="24"/>
                <w:szCs w:val="28"/>
              </w:rPr>
              <w:t>建设单位</w:t>
            </w:r>
            <w:r>
              <w:rPr>
                <w:bCs/>
                <w:sz w:val="24"/>
              </w:rPr>
              <w:t>必须严格管理，配备相应的应急设施，采取一系列严密的应急防范措施，</w:t>
            </w:r>
            <w:r>
              <w:rPr>
                <w:bCs/>
                <w:sz w:val="24"/>
                <w:szCs w:val="28"/>
              </w:rPr>
              <w:t>制定切实可行的消防及安全应急预案，</w:t>
            </w:r>
            <w:r>
              <w:rPr>
                <w:bCs/>
                <w:sz w:val="24"/>
              </w:rPr>
              <w:t>并加强职工的安全防范意识。</w:t>
            </w:r>
          </w:p>
          <w:p>
            <w:pPr>
              <w:pStyle w:val="8"/>
              <w:adjustRightInd w:val="0"/>
              <w:snapToGrid w:val="0"/>
              <w:spacing w:line="360" w:lineRule="auto"/>
              <w:ind w:firstLine="482" w:firstLineChars="200"/>
              <w:rPr>
                <w:rFonts w:hint="eastAsia" w:ascii="Times New Roman" w:hAnsi="Times New Roman" w:eastAsia="宋体"/>
                <w:b/>
                <w:highlight w:val="none"/>
              </w:rPr>
            </w:pPr>
            <w:r>
              <w:rPr>
                <w:rFonts w:hint="eastAsia" w:ascii="Times New Roman" w:hAnsi="Times New Roman" w:eastAsia="宋体"/>
                <w:b/>
                <w:highlight w:val="none"/>
              </w:rPr>
              <w:t>（3）环境风险分析结论</w:t>
            </w:r>
          </w:p>
          <w:p>
            <w:pPr>
              <w:adjustRightInd w:val="0"/>
              <w:snapToGrid w:val="0"/>
              <w:spacing w:line="360" w:lineRule="auto"/>
              <w:ind w:firstLine="480" w:firstLineChars="200"/>
              <w:rPr>
                <w:sz w:val="24"/>
              </w:rPr>
            </w:pPr>
            <w:r>
              <w:rPr>
                <w:sz w:val="24"/>
              </w:rPr>
              <w:t>综上所述，本</w:t>
            </w:r>
            <w:r>
              <w:rPr>
                <w:rFonts w:hint="eastAsia"/>
                <w:sz w:val="24"/>
              </w:rPr>
              <w:t>项目</w:t>
            </w:r>
            <w:r>
              <w:rPr>
                <w:sz w:val="24"/>
              </w:rPr>
              <w:t>应设立风险防范措施，最大限度防止风险事故的发生并进行有效处置，结合企业在下一步设计、运营过程中不断制定和完善的风险防范和应急措施，将发生环境风险的可能性降至最低。在各环境风险防范措施落实到位的情况下，可降低本项目的环境风险，最大程度减少对环境可能造成的危害。</w:t>
            </w:r>
          </w:p>
          <w:p>
            <w:pPr>
              <w:pStyle w:val="5"/>
              <w:adjustRightInd w:val="0"/>
              <w:snapToGrid w:val="0"/>
              <w:spacing w:line="360" w:lineRule="auto"/>
              <w:ind w:firstLine="480"/>
              <w:rPr>
                <w:sz w:val="24"/>
              </w:rPr>
            </w:pPr>
            <w:r>
              <w:rPr>
                <w:rFonts w:hint="eastAsia"/>
                <w:sz w:val="24"/>
              </w:rPr>
              <w:t>本项目环境风险简单分析见表4-</w:t>
            </w:r>
            <w:r>
              <w:rPr>
                <w:rFonts w:hint="eastAsia"/>
                <w:sz w:val="24"/>
                <w:lang w:val="en-US" w:eastAsia="zh-CN"/>
              </w:rPr>
              <w:t>14</w:t>
            </w:r>
            <w:r>
              <w:rPr>
                <w:rFonts w:hint="eastAsia"/>
                <w:sz w:val="24"/>
              </w:rPr>
              <w:t>。</w:t>
            </w:r>
          </w:p>
          <w:p>
            <w:pPr>
              <w:pStyle w:val="5"/>
              <w:adjustRightInd w:val="0"/>
              <w:snapToGrid w:val="0"/>
              <w:ind w:firstLine="0" w:firstLineChars="0"/>
              <w:jc w:val="center"/>
              <w:rPr>
                <w:b/>
                <w:bCs/>
                <w:sz w:val="24"/>
              </w:rPr>
            </w:pPr>
            <w:r>
              <w:rPr>
                <w:rFonts w:hint="eastAsia"/>
                <w:b/>
                <w:bCs/>
                <w:sz w:val="24"/>
              </w:rPr>
              <w:t>表4</w:t>
            </w:r>
            <w:r>
              <w:rPr>
                <w:rFonts w:hint="eastAsia"/>
                <w:b/>
                <w:bCs/>
                <w:sz w:val="24"/>
                <w:lang w:val="en-US" w:eastAsia="zh-CN"/>
              </w:rPr>
              <w:t>-14</w:t>
            </w:r>
            <w:r>
              <w:rPr>
                <w:rFonts w:hint="eastAsia"/>
                <w:b/>
                <w:bCs/>
                <w:sz w:val="24"/>
              </w:rPr>
              <w:t xml:space="preserve">  建设项目环境风险简单分析内容表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1466"/>
              <w:gridCol w:w="1304"/>
              <w:gridCol w:w="1304"/>
              <w:gridCol w:w="1114"/>
              <w:gridCol w:w="14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1" w:type="dxa"/>
                  <w:tcBorders>
                    <w:top w:val="single" w:color="auto" w:sz="12" w:space="0"/>
                    <w:left w:val="nil"/>
                    <w:bottom w:val="single" w:color="auto" w:sz="4" w:space="0"/>
                    <w:right w:val="single" w:color="auto" w:sz="4" w:space="0"/>
                  </w:tcBorders>
                  <w:noWrap w:val="0"/>
                  <w:vAlign w:val="center"/>
                </w:tcPr>
                <w:p>
                  <w:pPr>
                    <w:pStyle w:val="8"/>
                    <w:jc w:val="center"/>
                    <w:rPr>
                      <w:rFonts w:ascii="Times New Roman" w:hAnsi="Times New Roman" w:eastAsia="宋体"/>
                      <w:b/>
                      <w:sz w:val="21"/>
                      <w:szCs w:val="21"/>
                    </w:rPr>
                  </w:pPr>
                  <w:r>
                    <w:rPr>
                      <w:rFonts w:ascii="Times New Roman" w:hAnsi="Times New Roman" w:eastAsia="宋体"/>
                      <w:b/>
                      <w:sz w:val="21"/>
                      <w:szCs w:val="21"/>
                    </w:rPr>
                    <w:t>建设项目名称</w:t>
                  </w:r>
                </w:p>
              </w:tc>
              <w:tc>
                <w:tcPr>
                  <w:tcW w:w="6488" w:type="dxa"/>
                  <w:gridSpan w:val="5"/>
                  <w:tcBorders>
                    <w:top w:val="single" w:color="auto" w:sz="12" w:space="0"/>
                    <w:left w:val="single" w:color="auto" w:sz="4" w:space="0"/>
                    <w:bottom w:val="single" w:color="auto" w:sz="4" w:space="0"/>
                    <w:right w:val="nil"/>
                  </w:tcBorders>
                  <w:noWrap w:val="0"/>
                  <w:vAlign w:val="center"/>
                </w:tcPr>
                <w:p>
                  <w:pPr>
                    <w:pStyle w:val="8"/>
                    <w:jc w:val="center"/>
                    <w:rPr>
                      <w:rFonts w:hint="eastAsia" w:ascii="Times New Roman" w:hAnsi="Times New Roman" w:eastAsia="宋体"/>
                      <w:b/>
                      <w:sz w:val="21"/>
                      <w:szCs w:val="21"/>
                    </w:rPr>
                  </w:pPr>
                  <w:r>
                    <w:rPr>
                      <w:rFonts w:hint="eastAsia" w:ascii="Times New Roman" w:hAnsi="Times New Roman" w:eastAsia="宋体"/>
                      <w:b/>
                      <w:sz w:val="21"/>
                      <w:szCs w:val="21"/>
                      <w:lang w:eastAsia="zh-CN"/>
                    </w:rPr>
                    <w:t>常州凯士多医疗科技有限公司</w:t>
                  </w:r>
                  <w:r>
                    <w:rPr>
                      <w:rFonts w:hint="eastAsia" w:ascii="Times New Roman" w:hAnsi="Times New Roman" w:eastAsia="宋体"/>
                      <w:b/>
                      <w:sz w:val="21"/>
                      <w:szCs w:val="21"/>
                    </w:rPr>
                    <w:t>新建口腔清洁用品项目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1" w:type="dxa"/>
                  <w:tcBorders>
                    <w:top w:val="single" w:color="auto" w:sz="4" w:space="0"/>
                    <w:left w:val="nil"/>
                    <w:bottom w:val="single" w:color="auto" w:sz="4" w:space="0"/>
                    <w:right w:val="single" w:color="auto" w:sz="4" w:space="0"/>
                  </w:tcBorders>
                  <w:noWrap w:val="0"/>
                  <w:vAlign w:val="center"/>
                </w:tcPr>
                <w:p>
                  <w:pPr>
                    <w:pStyle w:val="8"/>
                    <w:jc w:val="center"/>
                    <w:rPr>
                      <w:rFonts w:ascii="Times New Roman" w:hAnsi="Times New Roman" w:eastAsia="宋体"/>
                      <w:sz w:val="21"/>
                      <w:szCs w:val="21"/>
                    </w:rPr>
                  </w:pPr>
                  <w:r>
                    <w:rPr>
                      <w:rFonts w:ascii="Times New Roman" w:hAnsi="Times New Roman" w:eastAsia="宋体"/>
                      <w:sz w:val="21"/>
                      <w:szCs w:val="21"/>
                    </w:rPr>
                    <w:t>建设地点</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Times New Roman" w:hAnsi="Times New Roman" w:eastAsia="宋体"/>
                      <w:sz w:val="21"/>
                      <w:szCs w:val="21"/>
                    </w:rPr>
                  </w:pPr>
                  <w:r>
                    <w:rPr>
                      <w:rFonts w:ascii="Times New Roman" w:hAnsi="Times New Roman" w:eastAsia="宋体"/>
                      <w:sz w:val="21"/>
                      <w:szCs w:val="21"/>
                    </w:rPr>
                    <w:t>（江苏）省</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Times New Roman" w:hAnsi="Times New Roman" w:eastAsia="宋体"/>
                      <w:sz w:val="21"/>
                      <w:szCs w:val="21"/>
                    </w:rPr>
                  </w:pPr>
                  <w:r>
                    <w:rPr>
                      <w:rFonts w:ascii="Times New Roman" w:hAnsi="Times New Roman" w:eastAsia="宋体"/>
                      <w:sz w:val="21"/>
                      <w:szCs w:val="21"/>
                    </w:rPr>
                    <w:t>（常州）市</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Times New Roman" w:hAnsi="Times New Roman" w:eastAsia="宋体"/>
                      <w:sz w:val="21"/>
                      <w:szCs w:val="21"/>
                    </w:rPr>
                  </w:pPr>
                  <w:r>
                    <w:rPr>
                      <w:rFonts w:ascii="Times New Roman" w:hAnsi="Times New Roman" w:eastAsia="宋体"/>
                      <w:sz w:val="21"/>
                      <w:szCs w:val="21"/>
                    </w:rPr>
                    <w:t>（金坛）区</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Times New Roman" w:hAnsi="Times New Roman" w:eastAsia="宋体"/>
                      <w:sz w:val="21"/>
                      <w:szCs w:val="21"/>
                    </w:rPr>
                  </w:pPr>
                  <w:r>
                    <w:rPr>
                      <w:rFonts w:ascii="Times New Roman" w:hAnsi="Times New Roman" w:eastAsia="宋体"/>
                      <w:sz w:val="21"/>
                      <w:szCs w:val="21"/>
                    </w:rPr>
                    <w:t>（/）县</w:t>
                  </w:r>
                </w:p>
              </w:tc>
              <w:tc>
                <w:tcPr>
                  <w:tcW w:w="1452" w:type="dxa"/>
                  <w:tcBorders>
                    <w:top w:val="single" w:color="auto" w:sz="4" w:space="0"/>
                    <w:left w:val="single" w:color="auto" w:sz="4" w:space="0"/>
                    <w:bottom w:val="single" w:color="auto" w:sz="4" w:space="0"/>
                    <w:right w:val="nil"/>
                  </w:tcBorders>
                  <w:noWrap w:val="0"/>
                  <w:vAlign w:val="center"/>
                </w:tcPr>
                <w:p>
                  <w:pPr>
                    <w:pStyle w:val="8"/>
                    <w:jc w:val="center"/>
                    <w:rPr>
                      <w:rFonts w:ascii="Times New Roman" w:hAnsi="Times New Roman" w:eastAsia="宋体"/>
                      <w:sz w:val="21"/>
                      <w:szCs w:val="21"/>
                    </w:rPr>
                  </w:pPr>
                  <w:r>
                    <w:rPr>
                      <w:rFonts w:ascii="Times New Roman" w:hAnsi="Times New Roman" w:eastAsia="宋体"/>
                      <w:sz w:val="21"/>
                      <w:szCs w:val="21"/>
                    </w:rPr>
                    <w:t>（金坛</w:t>
                  </w:r>
                  <w:r>
                    <w:rPr>
                      <w:rFonts w:hint="eastAsia" w:ascii="Times New Roman" w:hAnsi="Times New Roman" w:eastAsia="宋体"/>
                      <w:sz w:val="21"/>
                      <w:szCs w:val="21"/>
                    </w:rPr>
                    <w:t>经济</w:t>
                  </w:r>
                  <w:r>
                    <w:rPr>
                      <w:rFonts w:ascii="Times New Roman" w:hAnsi="Times New Roman" w:eastAsia="宋体"/>
                      <w:sz w:val="21"/>
                      <w:szCs w:val="21"/>
                    </w:rPr>
                    <w:t>开发区）园区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1" w:type="dxa"/>
                  <w:tcBorders>
                    <w:top w:val="single" w:color="auto" w:sz="4" w:space="0"/>
                    <w:left w:val="nil"/>
                    <w:bottom w:val="single" w:color="auto" w:sz="4" w:space="0"/>
                    <w:right w:val="single" w:color="auto" w:sz="4" w:space="0"/>
                  </w:tcBorders>
                  <w:noWrap w:val="0"/>
                  <w:vAlign w:val="center"/>
                </w:tcPr>
                <w:p>
                  <w:pPr>
                    <w:pStyle w:val="8"/>
                    <w:jc w:val="center"/>
                    <w:rPr>
                      <w:rFonts w:ascii="Times New Roman" w:hAnsi="Times New Roman" w:eastAsia="宋体"/>
                      <w:sz w:val="21"/>
                      <w:szCs w:val="21"/>
                    </w:rPr>
                  </w:pPr>
                  <w:r>
                    <w:rPr>
                      <w:rFonts w:ascii="Times New Roman" w:hAnsi="Times New Roman" w:eastAsia="宋体"/>
                      <w:sz w:val="21"/>
                      <w:szCs w:val="21"/>
                    </w:rPr>
                    <w:t>地理坐标</w:t>
                  </w:r>
                </w:p>
              </w:tc>
              <w:tc>
                <w:tcPr>
                  <w:tcW w:w="6488" w:type="dxa"/>
                  <w:gridSpan w:val="5"/>
                  <w:tcBorders>
                    <w:top w:val="single" w:color="auto" w:sz="4" w:space="0"/>
                    <w:left w:val="single" w:color="auto" w:sz="4" w:space="0"/>
                    <w:bottom w:val="single" w:color="auto" w:sz="4" w:space="0"/>
                    <w:right w:val="nil"/>
                  </w:tcBorders>
                  <w:noWrap w:val="0"/>
                  <w:vAlign w:val="center"/>
                </w:tcPr>
                <w:p>
                  <w:pPr>
                    <w:jc w:val="center"/>
                    <w:rPr>
                      <w:szCs w:val="21"/>
                    </w:rPr>
                  </w:pPr>
                  <w:r>
                    <w:rPr>
                      <w:rFonts w:hint="eastAsia"/>
                      <w:lang w:val="en-US" w:eastAsia="zh-CN"/>
                    </w:rPr>
                    <w:t>E</w:t>
                  </w:r>
                  <w:r>
                    <w:rPr>
                      <w:rFonts w:hint="eastAsia"/>
                    </w:rPr>
                    <w:t>119.663362</w:t>
                  </w:r>
                  <w:r>
                    <w:rPr>
                      <w:rFonts w:hint="eastAsia"/>
                      <w:lang w:eastAsia="zh-CN"/>
                    </w:rPr>
                    <w:t>，</w:t>
                  </w:r>
                  <w:r>
                    <w:rPr>
                      <w:rFonts w:hint="eastAsia"/>
                      <w:lang w:val="en-US" w:eastAsia="zh-CN"/>
                    </w:rPr>
                    <w:t>N</w:t>
                  </w:r>
                  <w:r>
                    <w:rPr>
                      <w:rFonts w:hint="eastAsia"/>
                    </w:rPr>
                    <w:t>31.751144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1" w:type="dxa"/>
                  <w:tcBorders>
                    <w:top w:val="single" w:color="auto" w:sz="4" w:space="0"/>
                    <w:left w:val="nil"/>
                    <w:bottom w:val="single" w:color="auto" w:sz="4" w:space="0"/>
                    <w:right w:val="single" w:color="auto" w:sz="4" w:space="0"/>
                  </w:tcBorders>
                  <w:noWrap w:val="0"/>
                  <w:vAlign w:val="center"/>
                </w:tcPr>
                <w:p>
                  <w:pPr>
                    <w:pStyle w:val="8"/>
                    <w:jc w:val="center"/>
                    <w:rPr>
                      <w:rFonts w:ascii="Times New Roman" w:hAnsi="Times New Roman" w:eastAsia="宋体"/>
                      <w:sz w:val="21"/>
                      <w:szCs w:val="21"/>
                    </w:rPr>
                  </w:pPr>
                  <w:r>
                    <w:rPr>
                      <w:rFonts w:ascii="Times New Roman" w:hAnsi="Times New Roman" w:eastAsia="宋体"/>
                      <w:sz w:val="21"/>
                      <w:szCs w:val="21"/>
                    </w:rPr>
                    <w:t>主要危险物质及分布</w:t>
                  </w:r>
                </w:p>
              </w:tc>
              <w:tc>
                <w:tcPr>
                  <w:tcW w:w="6488" w:type="dxa"/>
                  <w:gridSpan w:val="5"/>
                  <w:tcBorders>
                    <w:top w:val="single" w:color="auto" w:sz="4" w:space="0"/>
                    <w:left w:val="single" w:color="auto" w:sz="4" w:space="0"/>
                    <w:bottom w:val="single" w:color="auto" w:sz="4" w:space="0"/>
                    <w:right w:val="nil"/>
                  </w:tcBorders>
                  <w:noWrap w:val="0"/>
                  <w:vAlign w:val="center"/>
                </w:tcPr>
                <w:p>
                  <w:pPr>
                    <w:pStyle w:val="8"/>
                    <w:jc w:val="center"/>
                    <w:rPr>
                      <w:rFonts w:hint="eastAsia" w:ascii="Times New Roman" w:hAnsi="Times New Roman" w:eastAsia="宋体"/>
                      <w:sz w:val="21"/>
                      <w:szCs w:val="21"/>
                    </w:rPr>
                  </w:pPr>
                  <w:r>
                    <w:rPr>
                      <w:rFonts w:hint="eastAsia" w:ascii="Times New Roman" w:hAnsi="Times New Roman" w:eastAsia="宋体"/>
                      <w:sz w:val="21"/>
                      <w:szCs w:val="21"/>
                    </w:rPr>
                    <w:t>危险废物，位于危险废物仓库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1" w:type="dxa"/>
                  <w:tcBorders>
                    <w:top w:val="single" w:color="auto" w:sz="4" w:space="0"/>
                    <w:left w:val="nil"/>
                    <w:bottom w:val="single" w:color="auto" w:sz="4" w:space="0"/>
                    <w:right w:val="single" w:color="auto" w:sz="4" w:space="0"/>
                  </w:tcBorders>
                  <w:noWrap w:val="0"/>
                  <w:vAlign w:val="center"/>
                </w:tcPr>
                <w:p>
                  <w:pPr>
                    <w:pStyle w:val="8"/>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环境影响途径及危害后果</w:t>
                  </w:r>
                </w:p>
              </w:tc>
              <w:tc>
                <w:tcPr>
                  <w:tcW w:w="6488" w:type="dxa"/>
                  <w:gridSpan w:val="5"/>
                  <w:tcBorders>
                    <w:top w:val="single" w:color="auto" w:sz="4" w:space="0"/>
                    <w:left w:val="single" w:color="auto" w:sz="4" w:space="0"/>
                    <w:bottom w:val="single" w:color="auto" w:sz="4" w:space="0"/>
                    <w:right w:val="nil"/>
                  </w:tcBorders>
                  <w:noWrap w:val="0"/>
                  <w:vAlign w:val="center"/>
                </w:tcPr>
                <w:p>
                  <w:pPr>
                    <w:pStyle w:val="8"/>
                    <w:jc w:val="center"/>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泄漏危险废物污染地表水和地下水；发生火灾时燃烧烟尘及污染物污染周围大气环境等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1" w:type="dxa"/>
                  <w:tcBorders>
                    <w:top w:val="single" w:color="auto" w:sz="4" w:space="0"/>
                    <w:left w:val="nil"/>
                    <w:bottom w:val="single" w:color="auto" w:sz="4" w:space="0"/>
                    <w:right w:val="single" w:color="auto" w:sz="4" w:space="0"/>
                  </w:tcBorders>
                  <w:noWrap w:val="0"/>
                  <w:vAlign w:val="center"/>
                </w:tcPr>
                <w:p>
                  <w:pPr>
                    <w:pStyle w:val="8"/>
                    <w:jc w:val="center"/>
                    <w:rPr>
                      <w:rFonts w:ascii="Times New Roman" w:hAnsi="Times New Roman" w:eastAsia="宋体"/>
                      <w:sz w:val="21"/>
                      <w:szCs w:val="21"/>
                    </w:rPr>
                  </w:pPr>
                  <w:r>
                    <w:rPr>
                      <w:rFonts w:ascii="Times New Roman" w:hAnsi="Times New Roman" w:eastAsia="宋体"/>
                      <w:sz w:val="21"/>
                      <w:szCs w:val="21"/>
                    </w:rPr>
                    <w:t>风险防范措施要求</w:t>
                  </w:r>
                </w:p>
              </w:tc>
              <w:tc>
                <w:tcPr>
                  <w:tcW w:w="6488" w:type="dxa"/>
                  <w:gridSpan w:val="5"/>
                  <w:tcBorders>
                    <w:top w:val="single" w:color="auto" w:sz="4" w:space="0"/>
                    <w:left w:val="single" w:color="auto" w:sz="4" w:space="0"/>
                    <w:bottom w:val="single" w:color="auto" w:sz="4" w:space="0"/>
                    <w:right w:val="nil"/>
                  </w:tcBorders>
                  <w:noWrap w:val="0"/>
                  <w:vAlign w:val="center"/>
                </w:tcPr>
                <w:p>
                  <w:pPr>
                    <w:jc w:val="center"/>
                    <w:rPr>
                      <w:rFonts w:ascii="Times New Roman" w:hAnsi="Times New Roman" w:eastAsia="宋体"/>
                      <w:sz w:val="21"/>
                      <w:szCs w:val="21"/>
                    </w:rPr>
                  </w:pPr>
                  <w:r>
                    <w:rPr>
                      <w:rFonts w:hint="eastAsia" w:ascii="Times New Roman" w:hAnsi="Times New Roman" w:eastAsia="宋体"/>
                      <w:sz w:val="21"/>
                      <w:szCs w:val="21"/>
                    </w:rPr>
                    <w:t>定期检查、电缆、电线等情况，</w:t>
                  </w:r>
                  <w:r>
                    <w:rPr>
                      <w:rFonts w:ascii="Times New Roman" w:hAnsi="Times New Roman" w:eastAsia="宋体"/>
                      <w:sz w:val="21"/>
                      <w:szCs w:val="21"/>
                    </w:rPr>
                    <w:t>坚决</w:t>
                  </w:r>
                  <w:r>
                    <w:rPr>
                      <w:rFonts w:hint="eastAsia" w:ascii="Times New Roman" w:hAnsi="Times New Roman" w:eastAsia="宋体"/>
                      <w:sz w:val="21"/>
                      <w:szCs w:val="21"/>
                    </w:rPr>
                    <w:t>禁止</w:t>
                  </w:r>
                  <w:r>
                    <w:rPr>
                      <w:rFonts w:ascii="Times New Roman" w:hAnsi="Times New Roman" w:eastAsia="宋体"/>
                      <w:sz w:val="21"/>
                      <w:szCs w:val="21"/>
                    </w:rPr>
                    <w:t>生产过程中吸烟、点明火等</w:t>
                  </w:r>
                  <w:r>
                    <w:rPr>
                      <w:rFonts w:hint="eastAsia" w:ascii="Times New Roman" w:hAnsi="Times New Roman" w:eastAsia="宋体"/>
                      <w:sz w:val="21"/>
                      <w:szCs w:val="21"/>
                    </w:rPr>
                    <w:t>行为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29" w:type="dxa"/>
                  <w:gridSpan w:val="6"/>
                  <w:tcBorders>
                    <w:top w:val="single" w:color="auto" w:sz="4" w:space="0"/>
                    <w:left w:val="nil"/>
                    <w:bottom w:val="single" w:color="auto" w:sz="12" w:space="0"/>
                    <w:right w:val="nil"/>
                  </w:tcBorders>
                  <w:noWrap w:val="0"/>
                  <w:vAlign w:val="center"/>
                </w:tcPr>
                <w:p>
                  <w:pPr>
                    <w:pStyle w:val="8"/>
                    <w:jc w:val="center"/>
                    <w:rPr>
                      <w:rFonts w:ascii="Times New Roman" w:hAnsi="Times New Roman" w:eastAsia="宋体"/>
                      <w:sz w:val="21"/>
                      <w:szCs w:val="21"/>
                    </w:rPr>
                  </w:pPr>
                  <w:r>
                    <w:rPr>
                      <w:rFonts w:ascii="Times New Roman" w:hAnsi="Times New Roman" w:eastAsia="宋体"/>
                      <w:sz w:val="21"/>
                      <w:szCs w:val="21"/>
                    </w:rPr>
                    <w:t>填表说明：无</w:t>
                  </w:r>
                </w:p>
              </w:tc>
            </w:tr>
          </w:tbl>
          <w:p>
            <w:pPr>
              <w:pStyle w:val="40"/>
              <w:adjustRightInd w:val="0"/>
              <w:snapToGrid w:val="0"/>
              <w:spacing w:before="120" w:beforeLines="50" w:line="360" w:lineRule="auto"/>
              <w:ind w:firstLine="0" w:firstLineChars="0"/>
              <w:rPr>
                <w:rFonts w:eastAsia="宋体"/>
                <w:b/>
                <w:bCs/>
              </w:rPr>
            </w:pPr>
            <w:r>
              <w:rPr>
                <w:rFonts w:hint="eastAsia" w:eastAsia="宋体"/>
                <w:b/>
                <w:bCs/>
              </w:rPr>
              <w:t>7</w:t>
            </w:r>
            <w:r>
              <w:rPr>
                <w:rFonts w:eastAsia="宋体"/>
                <w:b/>
                <w:bCs/>
              </w:rPr>
              <w:t>、炭排放评价</w:t>
            </w:r>
          </w:p>
          <w:p>
            <w:pPr>
              <w:pStyle w:val="40"/>
              <w:spacing w:line="360" w:lineRule="auto"/>
              <w:ind w:firstLine="482"/>
              <w:rPr>
                <w:rFonts w:eastAsia="宋体"/>
                <w:b/>
                <w:bCs/>
              </w:rPr>
            </w:pPr>
            <w:r>
              <w:rPr>
                <w:rFonts w:hint="eastAsia" w:eastAsia="宋体"/>
                <w:b/>
                <w:bCs/>
              </w:rPr>
              <w:t>（1）</w:t>
            </w:r>
            <w:r>
              <w:rPr>
                <w:rFonts w:eastAsia="宋体"/>
                <w:b/>
                <w:bCs/>
              </w:rPr>
              <w:t>建设项目碳排放分析</w:t>
            </w:r>
          </w:p>
          <w:p>
            <w:pPr>
              <w:pStyle w:val="40"/>
              <w:spacing w:line="360" w:lineRule="auto"/>
              <w:ind w:firstLine="480"/>
              <w:rPr>
                <w:rFonts w:eastAsia="宋体"/>
              </w:rPr>
            </w:pPr>
            <w:r>
              <w:rPr>
                <w:rFonts w:eastAsia="宋体"/>
              </w:rPr>
              <w:t>本项目碳排放源识别见下表：</w:t>
            </w:r>
          </w:p>
          <w:p>
            <w:pPr>
              <w:pStyle w:val="40"/>
              <w:adjustRightInd w:val="0"/>
              <w:snapToGrid w:val="0"/>
              <w:spacing w:line="240" w:lineRule="auto"/>
              <w:ind w:firstLine="0" w:firstLineChars="0"/>
              <w:jc w:val="center"/>
              <w:rPr>
                <w:rFonts w:eastAsia="宋体"/>
                <w:b/>
                <w:bCs/>
              </w:rPr>
            </w:pPr>
            <w:r>
              <w:rPr>
                <w:rFonts w:eastAsia="宋体"/>
                <w:b/>
                <w:bCs/>
              </w:rPr>
              <w:t>表</w:t>
            </w:r>
            <w:r>
              <w:rPr>
                <w:rFonts w:hint="eastAsia" w:eastAsia="宋体"/>
                <w:b/>
                <w:bCs/>
              </w:rPr>
              <w:t>4-</w:t>
            </w:r>
            <w:r>
              <w:rPr>
                <w:rFonts w:hint="eastAsia" w:eastAsia="宋体"/>
                <w:b/>
                <w:bCs/>
                <w:lang w:val="en-US" w:eastAsia="zh-CN"/>
              </w:rPr>
              <w:t>15</w:t>
            </w:r>
            <w:r>
              <w:rPr>
                <w:rFonts w:hint="eastAsia" w:eastAsia="宋体"/>
                <w:b/>
                <w:bCs/>
              </w:rPr>
              <w:t xml:space="preserve"> </w:t>
            </w:r>
            <w:r>
              <w:rPr>
                <w:rFonts w:eastAsia="宋体"/>
                <w:b/>
                <w:bCs/>
              </w:rPr>
              <w:t xml:space="preserve"> 碳排放源识别表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91"/>
              <w:gridCol w:w="1330"/>
              <w:gridCol w:w="729"/>
              <w:gridCol w:w="650"/>
              <w:gridCol w:w="675"/>
              <w:gridCol w:w="863"/>
              <w:gridCol w:w="729"/>
              <w:gridCol w:w="6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670" w:type="pct"/>
                  <w:gridSpan w:val="2"/>
                  <w:vMerge w:val="restart"/>
                  <w:noWrap w:val="0"/>
                  <w:vAlign w:val="center"/>
                </w:tcPr>
                <w:p>
                  <w:pPr>
                    <w:pStyle w:val="10"/>
                    <w:spacing w:line="240" w:lineRule="auto"/>
                    <w:ind w:left="0" w:leftChars="0" w:right="0" w:rightChars="0" w:firstLine="0" w:firstLineChars="0"/>
                    <w:jc w:val="center"/>
                    <w:rPr>
                      <w:b/>
                      <w:bCs/>
                      <w:color w:val="auto"/>
                      <w:sz w:val="21"/>
                      <w:szCs w:val="21"/>
                    </w:rPr>
                  </w:pPr>
                  <w:r>
                    <w:rPr>
                      <w:b/>
                      <w:bCs/>
                      <w:color w:val="auto"/>
                      <w:sz w:val="21"/>
                      <w:szCs w:val="21"/>
                    </w:rPr>
                    <w:t>排放类型</w:t>
                  </w:r>
                </w:p>
              </w:tc>
              <w:tc>
                <w:tcPr>
                  <w:tcW w:w="794" w:type="pct"/>
                  <w:vMerge w:val="restart"/>
                  <w:noWrap w:val="0"/>
                  <w:vAlign w:val="center"/>
                </w:tcPr>
                <w:p>
                  <w:pPr>
                    <w:pStyle w:val="10"/>
                    <w:spacing w:line="240" w:lineRule="auto"/>
                    <w:ind w:left="0" w:leftChars="0" w:right="0" w:rightChars="0" w:firstLine="0" w:firstLineChars="0"/>
                    <w:jc w:val="center"/>
                    <w:rPr>
                      <w:b/>
                      <w:bCs/>
                      <w:color w:val="auto"/>
                      <w:sz w:val="21"/>
                      <w:szCs w:val="21"/>
                    </w:rPr>
                  </w:pPr>
                  <w:r>
                    <w:rPr>
                      <w:b/>
                      <w:bCs/>
                      <w:color w:val="auto"/>
                      <w:sz w:val="21"/>
                      <w:szCs w:val="21"/>
                    </w:rPr>
                    <w:t>设施/材料</w:t>
                  </w:r>
                </w:p>
              </w:tc>
              <w:tc>
                <w:tcPr>
                  <w:tcW w:w="2535" w:type="pct"/>
                  <w:gridSpan w:val="6"/>
                  <w:noWrap w:val="0"/>
                  <w:vAlign w:val="center"/>
                </w:tcPr>
                <w:p>
                  <w:pPr>
                    <w:pStyle w:val="10"/>
                    <w:spacing w:line="240" w:lineRule="auto"/>
                    <w:ind w:left="0" w:leftChars="0" w:right="0" w:rightChars="0" w:firstLine="0" w:firstLineChars="0"/>
                    <w:jc w:val="center"/>
                    <w:rPr>
                      <w:b/>
                      <w:bCs/>
                      <w:color w:val="auto"/>
                      <w:sz w:val="21"/>
                      <w:szCs w:val="21"/>
                    </w:rPr>
                  </w:pPr>
                  <w:r>
                    <w:rPr>
                      <w:b/>
                      <w:bCs/>
                      <w:color w:val="auto"/>
                      <w:sz w:val="21"/>
                      <w:szCs w:val="21"/>
                    </w:rPr>
                    <w:t>温室气体种类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670" w:type="pct"/>
                  <w:gridSpan w:val="2"/>
                  <w:vMerge w:val="continue"/>
                  <w:noWrap w:val="0"/>
                  <w:vAlign w:val="center"/>
                </w:tcPr>
                <w:p>
                  <w:pPr>
                    <w:pStyle w:val="10"/>
                    <w:spacing w:line="240" w:lineRule="auto"/>
                    <w:ind w:left="0" w:leftChars="0" w:right="0" w:rightChars="0" w:firstLine="0" w:firstLineChars="0"/>
                    <w:jc w:val="center"/>
                    <w:rPr>
                      <w:b/>
                      <w:bCs/>
                      <w:color w:val="auto"/>
                      <w:sz w:val="21"/>
                      <w:szCs w:val="21"/>
                    </w:rPr>
                  </w:pPr>
                </w:p>
              </w:tc>
              <w:tc>
                <w:tcPr>
                  <w:tcW w:w="794" w:type="pct"/>
                  <w:vMerge w:val="continue"/>
                  <w:noWrap w:val="0"/>
                  <w:vAlign w:val="center"/>
                </w:tcPr>
                <w:p>
                  <w:pPr>
                    <w:pStyle w:val="10"/>
                    <w:spacing w:line="240" w:lineRule="auto"/>
                    <w:ind w:left="0" w:leftChars="0" w:right="0" w:rightChars="0" w:firstLine="0" w:firstLineChars="0"/>
                    <w:jc w:val="center"/>
                    <w:rPr>
                      <w:b/>
                      <w:bCs/>
                      <w:color w:val="auto"/>
                      <w:sz w:val="21"/>
                      <w:szCs w:val="21"/>
                    </w:rPr>
                  </w:pPr>
                </w:p>
              </w:tc>
              <w:tc>
                <w:tcPr>
                  <w:tcW w:w="435" w:type="pct"/>
                  <w:noWrap w:val="0"/>
                  <w:vAlign w:val="center"/>
                </w:tcPr>
                <w:p>
                  <w:pPr>
                    <w:pStyle w:val="10"/>
                    <w:spacing w:line="240" w:lineRule="auto"/>
                    <w:ind w:left="0" w:leftChars="0" w:right="0" w:rightChars="0" w:firstLine="0" w:firstLineChars="0"/>
                    <w:jc w:val="center"/>
                    <w:rPr>
                      <w:b/>
                      <w:bCs/>
                      <w:color w:val="auto"/>
                      <w:sz w:val="21"/>
                      <w:szCs w:val="21"/>
                    </w:rPr>
                  </w:pPr>
                  <w:r>
                    <w:rPr>
                      <w:b/>
                      <w:bCs/>
                      <w:color w:val="auto"/>
                      <w:sz w:val="21"/>
                      <w:szCs w:val="21"/>
                    </w:rPr>
                    <w:t>CO</w:t>
                  </w:r>
                  <w:r>
                    <w:rPr>
                      <w:b/>
                      <w:bCs/>
                      <w:color w:val="auto"/>
                      <w:sz w:val="21"/>
                      <w:szCs w:val="21"/>
                      <w:vertAlign w:val="subscript"/>
                    </w:rPr>
                    <w:t>2</w:t>
                  </w:r>
                </w:p>
              </w:tc>
              <w:tc>
                <w:tcPr>
                  <w:tcW w:w="388" w:type="pct"/>
                  <w:noWrap w:val="0"/>
                  <w:vAlign w:val="center"/>
                </w:tcPr>
                <w:p>
                  <w:pPr>
                    <w:pStyle w:val="10"/>
                    <w:spacing w:line="240" w:lineRule="auto"/>
                    <w:ind w:left="0" w:leftChars="0" w:right="0" w:rightChars="0" w:firstLine="0" w:firstLineChars="0"/>
                    <w:jc w:val="center"/>
                    <w:rPr>
                      <w:b/>
                      <w:bCs/>
                      <w:color w:val="auto"/>
                      <w:sz w:val="21"/>
                      <w:szCs w:val="21"/>
                    </w:rPr>
                  </w:pPr>
                  <w:r>
                    <w:rPr>
                      <w:b/>
                      <w:bCs/>
                      <w:color w:val="auto"/>
                      <w:sz w:val="21"/>
                      <w:szCs w:val="21"/>
                    </w:rPr>
                    <w:t>CH</w:t>
                  </w:r>
                  <w:r>
                    <w:rPr>
                      <w:b/>
                      <w:bCs/>
                      <w:color w:val="auto"/>
                      <w:sz w:val="21"/>
                      <w:szCs w:val="21"/>
                      <w:vertAlign w:val="subscript"/>
                    </w:rPr>
                    <w:t>4</w:t>
                  </w:r>
                </w:p>
              </w:tc>
              <w:tc>
                <w:tcPr>
                  <w:tcW w:w="403" w:type="pct"/>
                  <w:noWrap w:val="0"/>
                  <w:vAlign w:val="center"/>
                </w:tcPr>
                <w:p>
                  <w:pPr>
                    <w:pStyle w:val="10"/>
                    <w:spacing w:line="240" w:lineRule="auto"/>
                    <w:ind w:left="0" w:leftChars="0" w:right="0" w:rightChars="0" w:firstLine="0" w:firstLineChars="0"/>
                    <w:jc w:val="center"/>
                    <w:rPr>
                      <w:b/>
                      <w:bCs/>
                      <w:color w:val="auto"/>
                      <w:sz w:val="21"/>
                      <w:szCs w:val="21"/>
                    </w:rPr>
                  </w:pPr>
                  <w:r>
                    <w:rPr>
                      <w:b/>
                      <w:bCs/>
                      <w:color w:val="auto"/>
                      <w:sz w:val="21"/>
                      <w:szCs w:val="21"/>
                    </w:rPr>
                    <w:t>N</w:t>
                  </w:r>
                  <w:r>
                    <w:rPr>
                      <w:b/>
                      <w:bCs/>
                      <w:color w:val="auto"/>
                      <w:sz w:val="21"/>
                      <w:szCs w:val="21"/>
                      <w:vertAlign w:val="subscript"/>
                    </w:rPr>
                    <w:t>2</w:t>
                  </w:r>
                  <w:r>
                    <w:rPr>
                      <w:b/>
                      <w:bCs/>
                      <w:color w:val="auto"/>
                      <w:sz w:val="21"/>
                      <w:szCs w:val="21"/>
                    </w:rPr>
                    <w:t>O</w:t>
                  </w:r>
                </w:p>
              </w:tc>
              <w:tc>
                <w:tcPr>
                  <w:tcW w:w="515" w:type="pct"/>
                  <w:noWrap w:val="0"/>
                  <w:vAlign w:val="center"/>
                </w:tcPr>
                <w:p>
                  <w:pPr>
                    <w:pStyle w:val="10"/>
                    <w:spacing w:line="240" w:lineRule="auto"/>
                    <w:ind w:left="0" w:leftChars="0" w:right="0" w:rightChars="0" w:firstLine="0" w:firstLineChars="0"/>
                    <w:jc w:val="center"/>
                    <w:rPr>
                      <w:b/>
                      <w:bCs/>
                      <w:color w:val="auto"/>
                      <w:sz w:val="21"/>
                      <w:szCs w:val="21"/>
                    </w:rPr>
                  </w:pPr>
                  <w:r>
                    <w:rPr>
                      <w:b/>
                      <w:bCs/>
                      <w:color w:val="auto"/>
                      <w:sz w:val="21"/>
                      <w:szCs w:val="21"/>
                    </w:rPr>
                    <w:t>HFCs</w:t>
                  </w:r>
                </w:p>
              </w:tc>
              <w:tc>
                <w:tcPr>
                  <w:tcW w:w="435" w:type="pct"/>
                  <w:noWrap w:val="0"/>
                  <w:vAlign w:val="center"/>
                </w:tcPr>
                <w:p>
                  <w:pPr>
                    <w:pStyle w:val="10"/>
                    <w:spacing w:line="240" w:lineRule="auto"/>
                    <w:ind w:left="0" w:leftChars="0" w:right="0" w:rightChars="0" w:firstLine="0" w:firstLineChars="0"/>
                    <w:jc w:val="center"/>
                    <w:rPr>
                      <w:b/>
                      <w:bCs/>
                      <w:color w:val="auto"/>
                      <w:sz w:val="21"/>
                      <w:szCs w:val="21"/>
                    </w:rPr>
                  </w:pPr>
                  <w:r>
                    <w:rPr>
                      <w:b/>
                      <w:bCs/>
                      <w:color w:val="auto"/>
                      <w:sz w:val="21"/>
                      <w:szCs w:val="21"/>
                    </w:rPr>
                    <w:t>PFCs</w:t>
                  </w:r>
                </w:p>
              </w:tc>
              <w:tc>
                <w:tcPr>
                  <w:tcW w:w="358" w:type="pct"/>
                  <w:noWrap w:val="0"/>
                  <w:vAlign w:val="center"/>
                </w:tcPr>
                <w:p>
                  <w:pPr>
                    <w:pStyle w:val="10"/>
                    <w:spacing w:line="240" w:lineRule="auto"/>
                    <w:ind w:left="0" w:leftChars="0" w:right="0" w:rightChars="0" w:firstLine="0" w:firstLineChars="0"/>
                    <w:jc w:val="center"/>
                    <w:rPr>
                      <w:b/>
                      <w:bCs/>
                      <w:color w:val="auto"/>
                      <w:sz w:val="21"/>
                      <w:szCs w:val="21"/>
                    </w:rPr>
                  </w:pPr>
                  <w:r>
                    <w:rPr>
                      <w:b/>
                      <w:bCs/>
                      <w:color w:val="auto"/>
                      <w:sz w:val="21"/>
                      <w:szCs w:val="21"/>
                    </w:rPr>
                    <w:t>SF</w:t>
                  </w:r>
                  <w:r>
                    <w:rPr>
                      <w:b/>
                      <w:bCs/>
                      <w:color w:val="auto"/>
                      <w:sz w:val="21"/>
                      <w:szCs w:val="21"/>
                      <w:vertAlign w:val="subscript"/>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0" w:type="pct"/>
                  <w:noWrap w:val="0"/>
                  <w:vAlign w:val="center"/>
                </w:tcPr>
                <w:p>
                  <w:pPr>
                    <w:pStyle w:val="10"/>
                    <w:spacing w:line="240" w:lineRule="auto"/>
                    <w:ind w:left="0" w:leftChars="0" w:right="0" w:rightChars="0" w:firstLine="0" w:firstLineChars="0"/>
                    <w:jc w:val="center"/>
                    <w:rPr>
                      <w:color w:val="auto"/>
                      <w:sz w:val="21"/>
                      <w:szCs w:val="21"/>
                    </w:rPr>
                  </w:pPr>
                  <w:r>
                    <w:rPr>
                      <w:color w:val="auto"/>
                      <w:sz w:val="21"/>
                      <w:szCs w:val="21"/>
                    </w:rPr>
                    <w:t>间接排放</w:t>
                  </w:r>
                </w:p>
              </w:tc>
              <w:tc>
                <w:tcPr>
                  <w:tcW w:w="950" w:type="pct"/>
                  <w:noWrap w:val="0"/>
                  <w:vAlign w:val="center"/>
                </w:tcPr>
                <w:p>
                  <w:pPr>
                    <w:pStyle w:val="10"/>
                    <w:spacing w:line="240" w:lineRule="auto"/>
                    <w:ind w:left="0" w:leftChars="0" w:right="0" w:rightChars="0" w:firstLine="0" w:firstLineChars="0"/>
                    <w:jc w:val="center"/>
                    <w:rPr>
                      <w:color w:val="auto"/>
                      <w:sz w:val="21"/>
                      <w:szCs w:val="21"/>
                    </w:rPr>
                  </w:pPr>
                  <w:r>
                    <w:rPr>
                      <w:color w:val="auto"/>
                      <w:sz w:val="21"/>
                      <w:szCs w:val="21"/>
                    </w:rPr>
                    <w:t>净调入电生产设备</w:t>
                  </w:r>
                </w:p>
              </w:tc>
              <w:tc>
                <w:tcPr>
                  <w:tcW w:w="794" w:type="pct"/>
                  <w:noWrap w:val="0"/>
                  <w:vAlign w:val="center"/>
                </w:tcPr>
                <w:p>
                  <w:pPr>
                    <w:pStyle w:val="10"/>
                    <w:spacing w:line="240" w:lineRule="auto"/>
                    <w:ind w:left="0" w:leftChars="0" w:right="0" w:rightChars="0" w:firstLine="0" w:firstLineChars="0"/>
                    <w:jc w:val="center"/>
                    <w:rPr>
                      <w:color w:val="auto"/>
                      <w:sz w:val="21"/>
                      <w:szCs w:val="21"/>
                    </w:rPr>
                  </w:pPr>
                  <w:r>
                    <w:rPr>
                      <w:color w:val="auto"/>
                      <w:sz w:val="21"/>
                      <w:szCs w:val="21"/>
                    </w:rPr>
                    <w:t>各种用电设备</w:t>
                  </w:r>
                </w:p>
              </w:tc>
              <w:tc>
                <w:tcPr>
                  <w:tcW w:w="435" w:type="pct"/>
                  <w:noWrap w:val="0"/>
                  <w:vAlign w:val="center"/>
                </w:tcPr>
                <w:p>
                  <w:pPr>
                    <w:adjustRightInd w:val="0"/>
                    <w:snapToGrid w:val="0"/>
                    <w:jc w:val="center"/>
                    <w:rPr>
                      <w:szCs w:val="21"/>
                    </w:rPr>
                  </w:pPr>
                  <w:r>
                    <w:rPr>
                      <w:szCs w:val="21"/>
                    </w:rPr>
                    <w:t>√</w:t>
                  </w:r>
                </w:p>
              </w:tc>
              <w:tc>
                <w:tcPr>
                  <w:tcW w:w="388" w:type="pct"/>
                  <w:noWrap w:val="0"/>
                  <w:vAlign w:val="center"/>
                </w:tcPr>
                <w:p>
                  <w:pPr>
                    <w:pStyle w:val="10"/>
                    <w:spacing w:line="240" w:lineRule="auto"/>
                    <w:ind w:left="0" w:leftChars="0" w:right="0" w:rightChars="0" w:firstLine="0" w:firstLineChars="0"/>
                    <w:jc w:val="center"/>
                    <w:rPr>
                      <w:color w:val="auto"/>
                      <w:sz w:val="21"/>
                      <w:szCs w:val="21"/>
                    </w:rPr>
                  </w:pPr>
                </w:p>
              </w:tc>
              <w:tc>
                <w:tcPr>
                  <w:tcW w:w="403" w:type="pct"/>
                  <w:noWrap w:val="0"/>
                  <w:vAlign w:val="center"/>
                </w:tcPr>
                <w:p>
                  <w:pPr>
                    <w:pStyle w:val="10"/>
                    <w:spacing w:line="240" w:lineRule="auto"/>
                    <w:ind w:left="0" w:leftChars="0" w:right="0" w:rightChars="0" w:firstLine="0" w:firstLineChars="0"/>
                    <w:jc w:val="center"/>
                    <w:rPr>
                      <w:color w:val="auto"/>
                      <w:sz w:val="21"/>
                      <w:szCs w:val="21"/>
                    </w:rPr>
                  </w:pPr>
                </w:p>
              </w:tc>
              <w:tc>
                <w:tcPr>
                  <w:tcW w:w="515" w:type="pct"/>
                  <w:noWrap w:val="0"/>
                  <w:vAlign w:val="center"/>
                </w:tcPr>
                <w:p>
                  <w:pPr>
                    <w:pStyle w:val="10"/>
                    <w:spacing w:line="240" w:lineRule="auto"/>
                    <w:ind w:left="0" w:leftChars="0" w:right="0" w:rightChars="0" w:firstLine="0" w:firstLineChars="0"/>
                    <w:jc w:val="center"/>
                    <w:rPr>
                      <w:color w:val="auto"/>
                      <w:sz w:val="21"/>
                      <w:szCs w:val="21"/>
                    </w:rPr>
                  </w:pPr>
                </w:p>
              </w:tc>
              <w:tc>
                <w:tcPr>
                  <w:tcW w:w="435" w:type="pct"/>
                  <w:noWrap w:val="0"/>
                  <w:vAlign w:val="center"/>
                </w:tcPr>
                <w:p>
                  <w:pPr>
                    <w:pStyle w:val="10"/>
                    <w:spacing w:line="240" w:lineRule="auto"/>
                    <w:ind w:left="0" w:leftChars="0" w:right="0" w:rightChars="0" w:firstLine="0" w:firstLineChars="0"/>
                    <w:jc w:val="center"/>
                    <w:rPr>
                      <w:color w:val="auto"/>
                      <w:sz w:val="21"/>
                      <w:szCs w:val="21"/>
                    </w:rPr>
                  </w:pPr>
                </w:p>
              </w:tc>
              <w:tc>
                <w:tcPr>
                  <w:tcW w:w="358" w:type="pct"/>
                  <w:noWrap w:val="0"/>
                  <w:vAlign w:val="center"/>
                </w:tcPr>
                <w:p>
                  <w:pPr>
                    <w:pStyle w:val="10"/>
                    <w:spacing w:line="240" w:lineRule="auto"/>
                    <w:ind w:left="0" w:leftChars="0" w:right="0" w:rightChars="0" w:firstLine="0" w:firstLineChars="0"/>
                    <w:jc w:val="center"/>
                    <w:rPr>
                      <w:color w:val="auto"/>
                      <w:sz w:val="21"/>
                      <w:szCs w:val="21"/>
                    </w:rPr>
                  </w:pPr>
                </w:p>
              </w:tc>
            </w:tr>
          </w:tbl>
          <w:p>
            <w:pPr>
              <w:pStyle w:val="10"/>
              <w:spacing w:before="120" w:beforeLines="50" w:line="360" w:lineRule="auto"/>
              <w:ind w:left="0" w:leftChars="0" w:right="0" w:rightChars="0" w:firstLine="482"/>
              <w:jc w:val="left"/>
              <w:rPr>
                <w:b/>
                <w:bCs/>
                <w:color w:val="auto"/>
                <w:sz w:val="24"/>
              </w:rPr>
            </w:pPr>
            <w:r>
              <w:rPr>
                <w:rFonts w:hint="eastAsia"/>
                <w:b/>
                <w:bCs/>
                <w:color w:val="auto"/>
                <w:sz w:val="24"/>
              </w:rPr>
              <w:t>（2）</w:t>
            </w:r>
            <w:r>
              <w:rPr>
                <w:b/>
                <w:bCs/>
                <w:color w:val="auto"/>
                <w:sz w:val="24"/>
              </w:rPr>
              <w:t>碳排放现状调查与评价</w:t>
            </w:r>
          </w:p>
          <w:p>
            <w:pPr>
              <w:pStyle w:val="10"/>
              <w:spacing w:line="360" w:lineRule="auto"/>
              <w:ind w:left="0" w:leftChars="0" w:right="0" w:rightChars="0" w:firstLine="480"/>
              <w:jc w:val="left"/>
              <w:rPr>
                <w:rFonts w:hint="eastAsia"/>
                <w:color w:val="auto"/>
                <w:sz w:val="24"/>
              </w:rPr>
            </w:pPr>
            <w:r>
              <w:rPr>
                <w:rFonts w:hint="eastAsia"/>
                <w:color w:val="auto"/>
                <w:sz w:val="24"/>
              </w:rPr>
              <w:t>①行业碳排放情况调查</w:t>
            </w:r>
          </w:p>
          <w:p>
            <w:pPr>
              <w:pStyle w:val="10"/>
              <w:spacing w:line="360" w:lineRule="auto"/>
              <w:ind w:left="0" w:leftChars="0" w:right="0" w:rightChars="0" w:firstLine="480"/>
              <w:jc w:val="left"/>
              <w:rPr>
                <w:rFonts w:hint="eastAsia"/>
                <w:color w:val="auto"/>
                <w:sz w:val="24"/>
              </w:rPr>
            </w:pPr>
            <w:r>
              <w:rPr>
                <w:rFonts w:hint="eastAsia"/>
                <w:color w:val="auto"/>
                <w:sz w:val="24"/>
              </w:rPr>
              <w:t>本项目属于</w:t>
            </w:r>
            <w:r>
              <w:rPr>
                <w:rFonts w:hint="eastAsia"/>
                <w:color w:val="auto"/>
                <w:sz w:val="24"/>
                <w:lang w:val="en-US" w:eastAsia="zh-CN"/>
              </w:rPr>
              <w:t>C3589其他医疗设备及器械制造</w:t>
            </w:r>
            <w:r>
              <w:rPr>
                <w:rFonts w:hint="eastAsia"/>
                <w:color w:val="auto"/>
                <w:sz w:val="24"/>
              </w:rPr>
              <w:t>，目前本行业内尚未有行业碳排放数据。</w:t>
            </w:r>
          </w:p>
          <w:p>
            <w:pPr>
              <w:pStyle w:val="10"/>
              <w:spacing w:line="360" w:lineRule="auto"/>
              <w:ind w:left="0" w:leftChars="0" w:right="0" w:rightChars="0" w:firstLine="480"/>
              <w:jc w:val="left"/>
              <w:rPr>
                <w:rFonts w:hint="eastAsia"/>
                <w:color w:val="auto"/>
                <w:sz w:val="24"/>
              </w:rPr>
            </w:pPr>
            <w:r>
              <w:rPr>
                <w:rFonts w:hint="eastAsia"/>
                <w:color w:val="auto"/>
                <w:sz w:val="24"/>
              </w:rPr>
              <w:t>②现有项目碳排放现状调查</w:t>
            </w:r>
          </w:p>
          <w:p>
            <w:pPr>
              <w:pStyle w:val="10"/>
              <w:spacing w:line="360" w:lineRule="auto"/>
              <w:ind w:left="0" w:leftChars="0" w:right="0" w:rightChars="0" w:firstLine="480"/>
              <w:jc w:val="left"/>
              <w:rPr>
                <w:color w:val="auto"/>
                <w:sz w:val="24"/>
              </w:rPr>
            </w:pPr>
            <w:r>
              <w:rPr>
                <w:rFonts w:hint="eastAsia"/>
                <w:color w:val="auto"/>
                <w:sz w:val="24"/>
              </w:rPr>
              <w:t>本项目为新建项目，无现有项目碳排放现状。</w:t>
            </w:r>
          </w:p>
          <w:p>
            <w:pPr>
              <w:pStyle w:val="40"/>
              <w:adjustRightInd w:val="0"/>
              <w:snapToGrid w:val="0"/>
              <w:spacing w:line="360" w:lineRule="auto"/>
              <w:ind w:firstLine="482"/>
              <w:rPr>
                <w:rFonts w:eastAsia="宋体"/>
                <w:b/>
                <w:bCs/>
              </w:rPr>
            </w:pPr>
            <w:r>
              <w:rPr>
                <w:rFonts w:hint="eastAsia" w:eastAsia="宋体"/>
                <w:b/>
                <w:bCs/>
              </w:rPr>
              <w:t>（3）</w:t>
            </w:r>
            <w:r>
              <w:rPr>
                <w:rFonts w:eastAsia="宋体"/>
                <w:b/>
                <w:bCs/>
              </w:rPr>
              <w:t>碳排放预测与评价</w:t>
            </w:r>
          </w:p>
          <w:p>
            <w:pPr>
              <w:pStyle w:val="40"/>
              <w:adjustRightInd w:val="0"/>
              <w:snapToGrid w:val="0"/>
              <w:spacing w:line="360" w:lineRule="auto"/>
              <w:ind w:firstLine="480"/>
              <w:rPr>
                <w:rFonts w:hint="eastAsia" w:eastAsia="宋体"/>
              </w:rPr>
            </w:pPr>
            <w:r>
              <w:rPr>
                <w:rFonts w:hint="eastAsia" w:eastAsia="宋体"/>
              </w:rPr>
              <w:t>①</w:t>
            </w:r>
            <w:r>
              <w:rPr>
                <w:rFonts w:eastAsia="宋体"/>
              </w:rPr>
              <w:t>营运期碳排放</w:t>
            </w:r>
            <w:r>
              <w:rPr>
                <w:rFonts w:hint="eastAsia" w:eastAsia="宋体"/>
              </w:rPr>
              <w:t>预测</w:t>
            </w:r>
          </w:p>
          <w:p>
            <w:pPr>
              <w:pStyle w:val="8"/>
              <w:spacing w:line="360" w:lineRule="auto"/>
              <w:ind w:firstLine="476" w:firstLineChars="200"/>
              <w:rPr>
                <w:rFonts w:ascii="Times New Roman" w:hAnsi="Times New Roman" w:eastAsia="宋体"/>
                <w:kern w:val="0"/>
              </w:rPr>
            </w:pPr>
            <w:r>
              <w:rPr>
                <w:rFonts w:ascii="Times New Roman" w:hAnsi="Times New Roman" w:eastAsia="宋体"/>
                <w:spacing w:val="-1"/>
              </w:rPr>
              <w:t>建设项目碳排放总量计算见公式</w:t>
            </w:r>
            <w:r>
              <w:rPr>
                <w:rFonts w:ascii="Times New Roman" w:hAnsi="Times New Roman" w:eastAsia="宋体"/>
              </w:rPr>
              <w:t>（1）；</w:t>
            </w:r>
          </w:p>
          <w:p>
            <w:pPr>
              <w:spacing w:line="360" w:lineRule="auto"/>
              <w:ind w:firstLine="480" w:firstLineChars="200"/>
              <w:jc w:val="center"/>
              <w:rPr>
                <w:sz w:val="24"/>
              </w:rPr>
            </w:pPr>
            <w:r>
              <w:rPr>
                <w:position w:val="2"/>
                <w:sz w:val="24"/>
              </w:rPr>
              <w:t>AE</w:t>
            </w:r>
            <w:r>
              <w:rPr>
                <w:sz w:val="24"/>
                <w:vertAlign w:val="subscript"/>
              </w:rPr>
              <w:t>总</w:t>
            </w:r>
            <w:r>
              <w:rPr>
                <w:position w:val="2"/>
                <w:sz w:val="24"/>
              </w:rPr>
              <w:t>=AE</w:t>
            </w:r>
            <w:r>
              <w:rPr>
                <w:sz w:val="24"/>
                <w:vertAlign w:val="subscript"/>
              </w:rPr>
              <w:t>燃料燃烧</w:t>
            </w:r>
            <w:r>
              <w:rPr>
                <w:position w:val="2"/>
                <w:sz w:val="24"/>
              </w:rPr>
              <w:t>+AE</w:t>
            </w:r>
            <w:r>
              <w:rPr>
                <w:sz w:val="24"/>
                <w:vertAlign w:val="subscript"/>
              </w:rPr>
              <w:t>工业生产过程</w:t>
            </w:r>
            <w:r>
              <w:rPr>
                <w:position w:val="2"/>
                <w:sz w:val="24"/>
              </w:rPr>
              <w:t>+AE</w:t>
            </w:r>
            <w:r>
              <w:rPr>
                <w:sz w:val="24"/>
                <w:vertAlign w:val="subscript"/>
              </w:rPr>
              <w:t>净调入电力和热力</w:t>
            </w:r>
            <w:r>
              <w:rPr>
                <w:sz w:val="24"/>
              </w:rPr>
              <w:tab/>
            </w:r>
            <w:r>
              <w:rPr>
                <w:position w:val="2"/>
                <w:sz w:val="24"/>
              </w:rPr>
              <w:t>（1）</w:t>
            </w:r>
          </w:p>
          <w:p>
            <w:pPr>
              <w:pStyle w:val="8"/>
              <w:spacing w:line="360" w:lineRule="auto"/>
              <w:ind w:firstLine="480" w:firstLineChars="200"/>
              <w:rPr>
                <w:rFonts w:ascii="Times New Roman" w:hAnsi="Times New Roman" w:eastAsia="宋体"/>
                <w:kern w:val="0"/>
              </w:rPr>
            </w:pPr>
            <w:r>
              <w:rPr>
                <w:rFonts w:ascii="Times New Roman" w:hAnsi="Times New Roman" w:eastAsia="宋体"/>
              </w:rPr>
              <w:t>式中：</w:t>
            </w:r>
          </w:p>
          <w:p>
            <w:pPr>
              <w:pStyle w:val="8"/>
              <w:spacing w:line="360" w:lineRule="auto"/>
              <w:ind w:firstLine="476" w:firstLineChars="200"/>
              <w:rPr>
                <w:rFonts w:ascii="Times New Roman" w:hAnsi="Times New Roman" w:eastAsia="宋体"/>
              </w:rPr>
            </w:pPr>
            <w:r>
              <w:rPr>
                <w:rFonts w:ascii="Times New Roman" w:hAnsi="Times New Roman" w:eastAsia="宋体"/>
                <w:spacing w:val="-1"/>
                <w:position w:val="2"/>
              </w:rPr>
              <w:t>A</w:t>
            </w:r>
            <w:r>
              <w:rPr>
                <w:rFonts w:ascii="Times New Roman" w:hAnsi="Times New Roman" w:eastAsia="宋体"/>
                <w:position w:val="2"/>
              </w:rPr>
              <w:t>E</w:t>
            </w:r>
            <w:r>
              <w:rPr>
                <w:rFonts w:ascii="Times New Roman" w:hAnsi="Times New Roman" w:eastAsia="宋体"/>
                <w:spacing w:val="-1"/>
                <w:vertAlign w:val="subscript"/>
              </w:rPr>
              <w:t>总</w:t>
            </w:r>
            <w:r>
              <w:rPr>
                <w:rFonts w:ascii="Times New Roman" w:hAnsi="Times New Roman" w:eastAsia="宋体"/>
                <w:position w:val="2"/>
              </w:rPr>
              <w:t>——碳排放总量（</w:t>
            </w:r>
            <w:r>
              <w:rPr>
                <w:rFonts w:ascii="Times New Roman" w:hAnsi="Times New Roman" w:eastAsia="宋体"/>
                <w:spacing w:val="1"/>
                <w:position w:val="2"/>
              </w:rPr>
              <w:t>t</w:t>
            </w:r>
            <w:r>
              <w:rPr>
                <w:rFonts w:ascii="Times New Roman" w:hAnsi="Times New Roman" w:eastAsia="宋体"/>
                <w:position w:val="2"/>
              </w:rPr>
              <w: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spacing w:val="-120"/>
                <w:position w:val="2"/>
              </w:rPr>
              <w:t>）</w:t>
            </w:r>
          </w:p>
          <w:p>
            <w:pPr>
              <w:spacing w:line="360" w:lineRule="auto"/>
              <w:ind w:firstLine="476" w:firstLineChars="200"/>
              <w:rPr>
                <w:sz w:val="24"/>
              </w:rPr>
            </w:pPr>
            <w:r>
              <w:rPr>
                <w:spacing w:val="-1"/>
                <w:position w:val="2"/>
                <w:sz w:val="24"/>
              </w:rPr>
              <w:t>A</w:t>
            </w:r>
            <w:r>
              <w:rPr>
                <w:position w:val="2"/>
                <w:sz w:val="24"/>
              </w:rPr>
              <w:t>E</w:t>
            </w:r>
            <w:r>
              <w:rPr>
                <w:spacing w:val="-1"/>
                <w:sz w:val="24"/>
                <w:vertAlign w:val="subscript"/>
              </w:rPr>
              <w:t>燃料燃烧</w:t>
            </w:r>
            <w:r>
              <w:rPr>
                <w:position w:val="2"/>
                <w:sz w:val="24"/>
              </w:rPr>
              <w:t>——燃料燃烧碳排放量（tC</w:t>
            </w:r>
            <w:r>
              <w:rPr>
                <w:spacing w:val="-1"/>
                <w:position w:val="2"/>
                <w:sz w:val="24"/>
              </w:rPr>
              <w:t>O</w:t>
            </w:r>
            <w:r>
              <w:rPr>
                <w:spacing w:val="1"/>
                <w:sz w:val="24"/>
                <w:vertAlign w:val="subscript"/>
              </w:rPr>
              <w:t>2</w:t>
            </w:r>
            <w:r>
              <w:rPr>
                <w:spacing w:val="-2"/>
                <w:sz w:val="24"/>
                <w:vertAlign w:val="subscript"/>
              </w:rPr>
              <w:t>e</w:t>
            </w:r>
            <w:r>
              <w:rPr>
                <w:spacing w:val="-120"/>
                <w:position w:val="2"/>
                <w:sz w:val="24"/>
              </w:rPr>
              <w:t>）</w:t>
            </w:r>
          </w:p>
          <w:p>
            <w:pPr>
              <w:spacing w:line="360" w:lineRule="auto"/>
              <w:ind w:firstLine="476" w:firstLineChars="200"/>
              <w:rPr>
                <w:sz w:val="24"/>
              </w:rPr>
            </w:pPr>
            <w:r>
              <w:rPr>
                <w:spacing w:val="-1"/>
                <w:position w:val="2"/>
                <w:sz w:val="24"/>
              </w:rPr>
              <w:t>A</w:t>
            </w:r>
            <w:r>
              <w:rPr>
                <w:position w:val="2"/>
                <w:sz w:val="24"/>
              </w:rPr>
              <w:t>E</w:t>
            </w:r>
            <w:r>
              <w:rPr>
                <w:spacing w:val="-1"/>
                <w:sz w:val="24"/>
                <w:vertAlign w:val="subscript"/>
              </w:rPr>
              <w:t>工业生产过程</w:t>
            </w:r>
            <w:r>
              <w:rPr>
                <w:position w:val="2"/>
                <w:sz w:val="24"/>
              </w:rPr>
              <w:t>——工业生产过程碳排放量（tC</w:t>
            </w:r>
            <w:r>
              <w:rPr>
                <w:spacing w:val="-1"/>
                <w:position w:val="2"/>
                <w:sz w:val="24"/>
              </w:rPr>
              <w:t>O</w:t>
            </w:r>
            <w:r>
              <w:rPr>
                <w:spacing w:val="-2"/>
                <w:sz w:val="24"/>
                <w:vertAlign w:val="subscript"/>
              </w:rPr>
              <w:t>2e</w:t>
            </w:r>
            <w:r>
              <w:rPr>
                <w:spacing w:val="-120"/>
                <w:position w:val="2"/>
                <w:sz w:val="24"/>
              </w:rPr>
              <w:t>）</w:t>
            </w:r>
          </w:p>
          <w:p>
            <w:pPr>
              <w:spacing w:line="360" w:lineRule="auto"/>
              <w:ind w:firstLine="476" w:firstLineChars="200"/>
              <w:rPr>
                <w:sz w:val="24"/>
              </w:rPr>
            </w:pPr>
            <w:r>
              <w:rPr>
                <w:spacing w:val="-1"/>
                <w:position w:val="2"/>
                <w:sz w:val="24"/>
              </w:rPr>
              <w:t>A</w:t>
            </w:r>
            <w:r>
              <w:rPr>
                <w:position w:val="2"/>
                <w:sz w:val="24"/>
              </w:rPr>
              <w:t>E</w:t>
            </w:r>
            <w:r>
              <w:rPr>
                <w:spacing w:val="-1"/>
                <w:sz w:val="24"/>
                <w:vertAlign w:val="subscript"/>
              </w:rPr>
              <w:t>净调入电力和热力</w:t>
            </w:r>
            <w:r>
              <w:rPr>
                <w:position w:val="2"/>
                <w:sz w:val="24"/>
              </w:rPr>
              <w:t>——净调入电力和热力消耗碳排放总量（tC</w:t>
            </w:r>
            <w:r>
              <w:rPr>
                <w:spacing w:val="-1"/>
                <w:position w:val="2"/>
                <w:sz w:val="24"/>
              </w:rPr>
              <w:t>O</w:t>
            </w:r>
            <w:r>
              <w:rPr>
                <w:spacing w:val="1"/>
                <w:sz w:val="24"/>
                <w:vertAlign w:val="subscript"/>
              </w:rPr>
              <w:t>2</w:t>
            </w:r>
            <w:r>
              <w:rPr>
                <w:spacing w:val="-2"/>
                <w:sz w:val="24"/>
                <w:vertAlign w:val="subscript"/>
              </w:rPr>
              <w:t>e</w:t>
            </w:r>
            <w:r>
              <w:rPr>
                <w:spacing w:val="-120"/>
                <w:position w:val="2"/>
                <w:sz w:val="24"/>
              </w:rPr>
              <w:t>）</w:t>
            </w:r>
          </w:p>
          <w:p>
            <w:pPr>
              <w:pStyle w:val="8"/>
              <w:spacing w:line="360" w:lineRule="auto"/>
              <w:ind w:firstLine="468" w:firstLineChars="200"/>
              <w:rPr>
                <w:rFonts w:ascii="Times New Roman" w:hAnsi="Times New Roman" w:eastAsia="宋体"/>
              </w:rPr>
            </w:pPr>
            <w:r>
              <w:rPr>
                <w:rFonts w:ascii="Times New Roman" w:hAnsi="Times New Roman" w:eastAsia="宋体"/>
                <w:spacing w:val="-3"/>
                <w:position w:val="2"/>
              </w:rPr>
              <w:t>根据燃料用于电力生产还是用于其他工业生产情况不同，燃料燃烧排放量</w:t>
            </w:r>
            <w:r>
              <w:rPr>
                <w:rFonts w:ascii="Times New Roman" w:hAnsi="Times New Roman" w:eastAsia="宋体"/>
                <w:position w:val="2"/>
              </w:rPr>
              <w:t>（AE</w:t>
            </w:r>
            <w:r>
              <w:rPr>
                <w:rFonts w:ascii="Times New Roman" w:hAnsi="Times New Roman" w:eastAsia="宋体"/>
                <w:vertAlign w:val="subscript"/>
              </w:rPr>
              <w:t>燃料燃烧</w:t>
            </w:r>
            <w:r>
              <w:rPr>
                <w:rFonts w:ascii="Times New Roman" w:hAnsi="Times New Roman" w:eastAsia="宋体"/>
                <w:spacing w:val="-34"/>
                <w:position w:val="2"/>
              </w:rPr>
              <w:t>）</w:t>
            </w:r>
            <w:r>
              <w:rPr>
                <w:rFonts w:ascii="Times New Roman" w:hAnsi="Times New Roman" w:eastAsia="宋体"/>
                <w:spacing w:val="-6"/>
                <w:position w:val="2"/>
              </w:rPr>
              <w:t>计算</w:t>
            </w:r>
            <w:r>
              <w:rPr>
                <w:rFonts w:ascii="Times New Roman" w:hAnsi="Times New Roman" w:eastAsia="宋体"/>
              </w:rPr>
              <w:t>方法不同，具体见公式（2</w:t>
            </w:r>
            <w:r>
              <w:rPr>
                <w:rFonts w:ascii="Times New Roman" w:hAnsi="Times New Roman" w:eastAsia="宋体"/>
                <w:spacing w:val="-120"/>
              </w:rPr>
              <w:t>）</w:t>
            </w:r>
          </w:p>
          <w:p>
            <w:pPr>
              <w:spacing w:line="360" w:lineRule="auto"/>
              <w:ind w:firstLine="480" w:firstLineChars="200"/>
              <w:jc w:val="center"/>
              <w:rPr>
                <w:sz w:val="24"/>
              </w:rPr>
            </w:pPr>
            <w:r>
              <w:rPr>
                <w:position w:val="2"/>
                <w:sz w:val="24"/>
              </w:rPr>
              <w:t>AE</w:t>
            </w:r>
            <w:r>
              <w:rPr>
                <w:sz w:val="24"/>
                <w:vertAlign w:val="subscript"/>
              </w:rPr>
              <w:t>燃料燃烧</w:t>
            </w:r>
            <w:r>
              <w:rPr>
                <w:position w:val="2"/>
                <w:sz w:val="24"/>
              </w:rPr>
              <w:t>=AE</w:t>
            </w:r>
            <w:r>
              <w:rPr>
                <w:sz w:val="24"/>
                <w:vertAlign w:val="subscript"/>
              </w:rPr>
              <w:t>电燃</w:t>
            </w:r>
            <w:r>
              <w:rPr>
                <w:position w:val="2"/>
                <w:sz w:val="24"/>
              </w:rPr>
              <w:t>+AE</w:t>
            </w:r>
            <w:r>
              <w:rPr>
                <w:sz w:val="24"/>
                <w:vertAlign w:val="subscript"/>
              </w:rPr>
              <w:t>工燃</w:t>
            </w:r>
            <w:r>
              <w:rPr>
                <w:sz w:val="24"/>
              </w:rPr>
              <w:tab/>
            </w:r>
            <w:r>
              <w:rPr>
                <w:position w:val="2"/>
                <w:sz w:val="24"/>
              </w:rPr>
              <w:t>（2）</w:t>
            </w:r>
          </w:p>
          <w:p>
            <w:pPr>
              <w:pStyle w:val="8"/>
              <w:spacing w:line="360" w:lineRule="auto"/>
              <w:ind w:firstLine="480" w:firstLineChars="200"/>
              <w:rPr>
                <w:rFonts w:ascii="Times New Roman" w:hAnsi="Times New Roman" w:eastAsia="宋体"/>
              </w:rPr>
            </w:pPr>
            <w:r>
              <w:rPr>
                <w:rFonts w:ascii="Times New Roman" w:hAnsi="Times New Roman" w:eastAsia="宋体"/>
              </w:rPr>
              <w:t>式中：</w:t>
            </w:r>
          </w:p>
          <w:p>
            <w:pPr>
              <w:pStyle w:val="8"/>
              <w:spacing w:line="360" w:lineRule="auto"/>
              <w:ind w:firstLine="476" w:firstLineChars="200"/>
              <w:rPr>
                <w:rFonts w:ascii="Times New Roman" w:hAnsi="Times New Roman" w:eastAsia="宋体"/>
              </w:rPr>
            </w:pPr>
            <w:r>
              <w:rPr>
                <w:rFonts w:ascii="Times New Roman" w:hAnsi="Times New Roman" w:eastAsia="宋体"/>
                <w:spacing w:val="-1"/>
                <w:position w:val="2"/>
              </w:rPr>
              <w:t>A</w:t>
            </w:r>
            <w:r>
              <w:rPr>
                <w:rFonts w:ascii="Times New Roman" w:hAnsi="Times New Roman" w:eastAsia="宋体"/>
                <w:position w:val="2"/>
              </w:rPr>
              <w:t>E</w:t>
            </w:r>
            <w:r>
              <w:rPr>
                <w:rFonts w:ascii="Times New Roman" w:hAnsi="Times New Roman" w:eastAsia="宋体"/>
                <w:spacing w:val="-1"/>
                <w:vertAlign w:val="subscript"/>
              </w:rPr>
              <w:t>电燃</w:t>
            </w:r>
            <w:r>
              <w:rPr>
                <w:rFonts w:ascii="Times New Roman" w:hAnsi="Times New Roman" w:eastAsia="宋体"/>
                <w:position w:val="2"/>
              </w:rPr>
              <w:t>——电力生产燃料燃烧排放量（tC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spacing w:val="-120"/>
                <w:position w:val="2"/>
              </w:rPr>
              <w:t>）</w:t>
            </w:r>
          </w:p>
          <w:p>
            <w:pPr>
              <w:pStyle w:val="8"/>
              <w:spacing w:line="360" w:lineRule="auto"/>
              <w:ind w:firstLine="476" w:firstLineChars="200"/>
              <w:rPr>
                <w:rFonts w:ascii="Times New Roman" w:hAnsi="Times New Roman" w:eastAsia="宋体"/>
                <w:kern w:val="0"/>
              </w:rPr>
            </w:pPr>
            <w:r>
              <w:rPr>
                <w:rFonts w:ascii="Times New Roman" w:hAnsi="Times New Roman" w:eastAsia="宋体"/>
                <w:spacing w:val="-1"/>
                <w:position w:val="2"/>
              </w:rPr>
              <w:t>A</w:t>
            </w:r>
            <w:r>
              <w:rPr>
                <w:rFonts w:ascii="Times New Roman" w:hAnsi="Times New Roman" w:eastAsia="宋体"/>
                <w:position w:val="2"/>
              </w:rPr>
              <w:t>E</w:t>
            </w:r>
            <w:r>
              <w:rPr>
                <w:rFonts w:ascii="Times New Roman" w:hAnsi="Times New Roman" w:eastAsia="宋体"/>
                <w:spacing w:val="-1"/>
                <w:vertAlign w:val="subscript"/>
              </w:rPr>
              <w:t>工燃</w:t>
            </w:r>
            <w:r>
              <w:rPr>
                <w:rFonts w:ascii="Times New Roman" w:hAnsi="Times New Roman" w:eastAsia="宋体"/>
                <w:position w:val="2"/>
              </w:rPr>
              <w:t>——工业生产燃料燃烧排放量（tC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spacing w:val="-120"/>
                <w:position w:val="2"/>
              </w:rPr>
              <w:t>）</w:t>
            </w:r>
          </w:p>
          <w:p>
            <w:pPr>
              <w:pStyle w:val="8"/>
              <w:spacing w:line="360" w:lineRule="auto"/>
              <w:ind w:firstLine="476" w:firstLineChars="200"/>
              <w:rPr>
                <w:rFonts w:ascii="Times New Roman" w:hAnsi="Times New Roman" w:eastAsia="宋体"/>
              </w:rPr>
            </w:pPr>
            <w:r>
              <w:rPr>
                <w:rFonts w:ascii="Times New Roman" w:hAnsi="Times New Roman" w:eastAsia="宋体"/>
                <w:spacing w:val="-1"/>
                <w:position w:val="2"/>
              </w:rPr>
              <w:t>建设项目用于电力生产的燃料燃烧产生的排放量</w:t>
            </w:r>
            <w:r>
              <w:rPr>
                <w:rFonts w:ascii="Times New Roman" w:hAnsi="Times New Roman" w:eastAsia="宋体"/>
                <w:spacing w:val="1"/>
                <w:position w:val="2"/>
              </w:rPr>
              <w:t>（</w:t>
            </w:r>
            <w:r>
              <w:rPr>
                <w:rFonts w:ascii="Times New Roman" w:hAnsi="Times New Roman" w:eastAsia="宋体"/>
                <w:spacing w:val="-1"/>
                <w:position w:val="2"/>
              </w:rPr>
              <w:t>A</w:t>
            </w:r>
            <w:r>
              <w:rPr>
                <w:rFonts w:ascii="Times New Roman" w:hAnsi="Times New Roman" w:eastAsia="宋体"/>
                <w:position w:val="2"/>
              </w:rPr>
              <w:t>E</w:t>
            </w:r>
            <w:r>
              <w:rPr>
                <w:rFonts w:ascii="Times New Roman" w:hAnsi="Times New Roman" w:eastAsia="宋体"/>
                <w:vertAlign w:val="subscript"/>
              </w:rPr>
              <w:t>电燃</w:t>
            </w:r>
            <w:r>
              <w:rPr>
                <w:rFonts w:ascii="Times New Roman" w:hAnsi="Times New Roman" w:eastAsia="宋体"/>
                <w:position w:val="2"/>
              </w:rPr>
              <w:t>）计算方法见公式（3</w:t>
            </w:r>
            <w:r>
              <w:rPr>
                <w:rFonts w:ascii="Times New Roman" w:hAnsi="Times New Roman" w:eastAsia="宋体"/>
                <w:spacing w:val="-120"/>
                <w:position w:val="2"/>
              </w:rPr>
              <w:t>）</w:t>
            </w:r>
          </w:p>
          <w:p>
            <w:pPr>
              <w:spacing w:line="360" w:lineRule="auto"/>
              <w:ind w:firstLine="480" w:firstLineChars="200"/>
              <w:jc w:val="center"/>
              <w:rPr>
                <w:sz w:val="24"/>
              </w:rPr>
            </w:pPr>
            <w:r>
              <w:rPr>
                <w:position w:val="2"/>
                <w:sz w:val="24"/>
              </w:rPr>
              <w:t>AE</w:t>
            </w:r>
            <w:r>
              <w:rPr>
                <w:sz w:val="24"/>
                <w:vertAlign w:val="subscript"/>
              </w:rPr>
              <w:t>电燃</w:t>
            </w:r>
            <w:r>
              <w:rPr>
                <w:position w:val="2"/>
                <w:sz w:val="24"/>
              </w:rPr>
              <w:t>=∑（AD</w:t>
            </w:r>
            <w:r>
              <w:rPr>
                <w:sz w:val="24"/>
              </w:rPr>
              <w:t>i</w:t>
            </w:r>
            <w:r>
              <w:rPr>
                <w:sz w:val="24"/>
                <w:vertAlign w:val="subscript"/>
              </w:rPr>
              <w:t>燃料</w:t>
            </w:r>
            <w:r>
              <w:rPr>
                <w:position w:val="2"/>
                <w:sz w:val="24"/>
              </w:rPr>
              <w:t>*EF</w:t>
            </w:r>
            <w:r>
              <w:rPr>
                <w:sz w:val="24"/>
              </w:rPr>
              <w:t>i</w:t>
            </w:r>
            <w:r>
              <w:rPr>
                <w:sz w:val="24"/>
                <w:vertAlign w:val="subscript"/>
              </w:rPr>
              <w:t>燃料</w:t>
            </w:r>
            <w:r>
              <w:rPr>
                <w:position w:val="2"/>
                <w:sz w:val="24"/>
              </w:rPr>
              <w:t>+AD</w:t>
            </w:r>
            <w:r>
              <w:rPr>
                <w:sz w:val="24"/>
              </w:rPr>
              <w:t>i</w:t>
            </w:r>
            <w:r>
              <w:rPr>
                <w:sz w:val="24"/>
                <w:vertAlign w:val="subscript"/>
              </w:rPr>
              <w:t>燃料</w:t>
            </w:r>
            <w:r>
              <w:rPr>
                <w:position w:val="2"/>
                <w:sz w:val="24"/>
              </w:rPr>
              <w:t>*EF</w:t>
            </w:r>
            <w:r>
              <w:rPr>
                <w:spacing w:val="-1"/>
                <w:position w:val="2"/>
                <w:sz w:val="24"/>
              </w:rPr>
              <w:t>＇</w:t>
            </w:r>
            <w:r>
              <w:rPr>
                <w:sz w:val="24"/>
                <w:vertAlign w:val="subscript"/>
              </w:rPr>
              <w:t>i燃料</w:t>
            </w:r>
            <w:r>
              <w:rPr>
                <w:position w:val="2"/>
                <w:sz w:val="24"/>
              </w:rPr>
              <w:t>*GWP</w:t>
            </w:r>
            <w:r>
              <w:rPr>
                <w:sz w:val="24"/>
                <w:vertAlign w:val="subscript"/>
              </w:rPr>
              <w:t>N2O</w:t>
            </w:r>
            <w:r>
              <w:rPr>
                <w:position w:val="2"/>
                <w:sz w:val="24"/>
              </w:rPr>
              <w:t>）</w:t>
            </w:r>
          </w:p>
          <w:p>
            <w:pPr>
              <w:pStyle w:val="8"/>
              <w:spacing w:line="360" w:lineRule="auto"/>
              <w:ind w:firstLine="480" w:firstLineChars="200"/>
              <w:rPr>
                <w:rFonts w:ascii="Times New Roman" w:hAnsi="Times New Roman" w:eastAsia="宋体"/>
              </w:rPr>
            </w:pPr>
            <w:r>
              <w:rPr>
                <w:rFonts w:ascii="Times New Roman" w:hAnsi="Times New Roman" w:eastAsia="宋体"/>
              </w:rPr>
              <w:t>式中：</w:t>
            </w:r>
          </w:p>
          <w:p>
            <w:pPr>
              <w:pStyle w:val="8"/>
              <w:spacing w:line="360" w:lineRule="auto"/>
              <w:ind w:firstLine="480" w:firstLineChars="200"/>
              <w:rPr>
                <w:rFonts w:ascii="Times New Roman" w:hAnsi="Times New Roman" w:eastAsia="宋体"/>
              </w:rPr>
            </w:pPr>
            <w:r>
              <w:rPr>
                <w:rFonts w:ascii="Times New Roman" w:hAnsi="Times New Roman" w:eastAsia="宋体"/>
              </w:rPr>
              <w:t>i——燃料种类；</w:t>
            </w:r>
          </w:p>
          <w:p>
            <w:pPr>
              <w:pStyle w:val="8"/>
              <w:spacing w:line="360" w:lineRule="auto"/>
              <w:ind w:firstLine="476" w:firstLineChars="200"/>
              <w:rPr>
                <w:rFonts w:ascii="Times New Roman" w:hAnsi="Times New Roman" w:eastAsia="宋体"/>
              </w:rPr>
            </w:pPr>
            <w:r>
              <w:rPr>
                <w:rFonts w:ascii="Times New Roman" w:hAnsi="Times New Roman" w:eastAsia="宋体"/>
                <w:spacing w:val="-1"/>
                <w:position w:val="2"/>
              </w:rPr>
              <w:t>AD</w:t>
            </w:r>
            <w:r>
              <w:rPr>
                <w:rFonts w:ascii="Times New Roman" w:hAnsi="Times New Roman" w:eastAsia="宋体"/>
              </w:rPr>
              <w:t>i</w:t>
            </w:r>
            <w:r>
              <w:rPr>
                <w:rFonts w:ascii="Times New Roman" w:hAnsi="Times New Roman" w:eastAsia="宋体"/>
                <w:spacing w:val="-1"/>
                <w:vertAlign w:val="subscript"/>
              </w:rPr>
              <w:t>燃料</w:t>
            </w:r>
            <w:r>
              <w:rPr>
                <w:rFonts w:ascii="Times New Roman" w:hAnsi="Times New Roman" w:eastAsia="宋体"/>
                <w:position w:val="2"/>
              </w:rPr>
              <w:t xml:space="preserve">——i </w:t>
            </w:r>
            <w:r>
              <w:rPr>
                <w:rFonts w:ascii="Times New Roman" w:hAnsi="Times New Roman" w:eastAsia="宋体"/>
                <w:spacing w:val="-1"/>
                <w:position w:val="2"/>
              </w:rPr>
              <w:t>燃料燃烧消耗量</w:t>
            </w:r>
            <w:r>
              <w:rPr>
                <w:rFonts w:ascii="Times New Roman" w:hAnsi="Times New Roman" w:eastAsia="宋体"/>
                <w:position w:val="2"/>
              </w:rPr>
              <w:t xml:space="preserve">（t </w:t>
            </w:r>
            <w:r>
              <w:rPr>
                <w:rFonts w:ascii="Times New Roman" w:hAnsi="Times New Roman" w:eastAsia="宋体"/>
                <w:spacing w:val="-30"/>
                <w:position w:val="2"/>
              </w:rPr>
              <w:t xml:space="preserve">或 </w:t>
            </w:r>
            <w:r>
              <w:rPr>
                <w:rFonts w:ascii="Times New Roman" w:hAnsi="Times New Roman" w:eastAsia="宋体"/>
                <w:position w:val="2"/>
              </w:rPr>
              <w:t>kNm</w:t>
            </w:r>
            <w:r>
              <w:rPr>
                <w:rFonts w:ascii="Times New Roman" w:hAnsi="Times New Roman" w:eastAsia="宋体"/>
                <w:spacing w:val="1"/>
                <w:position w:val="2"/>
                <w:vertAlign w:val="superscript"/>
              </w:rPr>
              <w:t>3</w:t>
            </w:r>
            <w:r>
              <w:rPr>
                <w:rFonts w:ascii="Times New Roman" w:hAnsi="Times New Roman" w:eastAsia="宋体"/>
                <w:spacing w:val="-120"/>
                <w:position w:val="2"/>
              </w:rPr>
              <w:t>）</w:t>
            </w:r>
          </w:p>
          <w:p>
            <w:pPr>
              <w:pStyle w:val="8"/>
              <w:spacing w:line="360" w:lineRule="auto"/>
              <w:ind w:firstLine="476" w:firstLineChars="200"/>
              <w:rPr>
                <w:rFonts w:ascii="Times New Roman" w:hAnsi="Times New Roman" w:eastAsia="宋体"/>
                <w:position w:val="2"/>
              </w:rPr>
            </w:pPr>
            <w:r>
              <w:rPr>
                <w:rFonts w:ascii="Times New Roman" w:hAnsi="Times New Roman" w:eastAsia="宋体"/>
                <w:spacing w:val="-1"/>
                <w:position w:val="2"/>
              </w:rPr>
              <w:t>E</w:t>
            </w:r>
            <w:r>
              <w:rPr>
                <w:rFonts w:ascii="Times New Roman" w:hAnsi="Times New Roman" w:eastAsia="宋体"/>
                <w:spacing w:val="-2"/>
                <w:position w:val="2"/>
              </w:rPr>
              <w:t>F</w:t>
            </w:r>
            <w:r>
              <w:rPr>
                <w:rFonts w:ascii="Times New Roman" w:hAnsi="Times New Roman" w:eastAsia="宋体"/>
              </w:rPr>
              <w:t>i</w:t>
            </w:r>
            <w:r>
              <w:rPr>
                <w:rFonts w:ascii="Times New Roman" w:hAnsi="Times New Roman" w:eastAsia="宋体"/>
                <w:spacing w:val="-1"/>
                <w:vertAlign w:val="subscript"/>
              </w:rPr>
              <w:t>燃料</w:t>
            </w:r>
            <w:r>
              <w:rPr>
                <w:rFonts w:ascii="Times New Roman" w:hAnsi="Times New Roman" w:eastAsia="宋体"/>
                <w:position w:val="2"/>
              </w:rPr>
              <w:t>——i 燃料燃烧二氧化碳排放因子（tC</w:t>
            </w:r>
            <w:r>
              <w:rPr>
                <w:rFonts w:ascii="Times New Roman" w:hAnsi="Times New Roman" w:eastAsia="宋体"/>
                <w:spacing w:val="-1"/>
                <w:position w:val="2"/>
              </w:rPr>
              <w:t>O</w:t>
            </w:r>
            <w:r>
              <w:rPr>
                <w:rFonts w:ascii="Times New Roman" w:hAnsi="Times New Roman" w:eastAsia="宋体"/>
                <w:spacing w:val="-2"/>
                <w:vertAlign w:val="subscript"/>
              </w:rPr>
              <w:t>2e</w:t>
            </w:r>
            <w:r>
              <w:rPr>
                <w:rFonts w:ascii="Times New Roman" w:hAnsi="Times New Roman" w:eastAsia="宋体"/>
                <w:position w:val="2"/>
              </w:rPr>
              <w:t xml:space="preserve">/kg </w:t>
            </w:r>
            <w:r>
              <w:rPr>
                <w:rFonts w:ascii="Times New Roman" w:hAnsi="Times New Roman" w:eastAsia="宋体"/>
                <w:spacing w:val="-30"/>
                <w:position w:val="2"/>
              </w:rPr>
              <w:t xml:space="preserve">或 </w:t>
            </w:r>
            <w:r>
              <w:rPr>
                <w:rFonts w:ascii="Times New Roman" w:hAnsi="Times New Roman" w:eastAsia="宋体"/>
                <w:position w:val="2"/>
              </w:rPr>
              <w:t>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position w:val="2"/>
              </w:rPr>
              <w:t>/kNm</w:t>
            </w:r>
            <w:r>
              <w:rPr>
                <w:rFonts w:ascii="Times New Roman" w:hAnsi="Times New Roman" w:eastAsia="宋体"/>
                <w:spacing w:val="1"/>
                <w:position w:val="2"/>
                <w:vertAlign w:val="superscript"/>
              </w:rPr>
              <w:t>3</w:t>
            </w:r>
            <w:r>
              <w:rPr>
                <w:rFonts w:ascii="Times New Roman" w:hAnsi="Times New Roman" w:eastAsia="宋体"/>
                <w:spacing w:val="-120"/>
                <w:position w:val="2"/>
              </w:rPr>
              <w:t>）</w:t>
            </w:r>
          </w:p>
          <w:p>
            <w:pPr>
              <w:pStyle w:val="8"/>
              <w:spacing w:line="360" w:lineRule="auto"/>
              <w:ind w:firstLine="476" w:firstLineChars="200"/>
              <w:rPr>
                <w:rFonts w:ascii="Times New Roman" w:hAnsi="Times New Roman" w:eastAsia="宋体"/>
                <w:position w:val="2"/>
              </w:rPr>
            </w:pPr>
            <w:r>
              <w:rPr>
                <w:rFonts w:ascii="Times New Roman" w:hAnsi="Times New Roman" w:eastAsia="宋体"/>
                <w:spacing w:val="-1"/>
                <w:position w:val="2"/>
              </w:rPr>
              <w:t>E</w:t>
            </w:r>
            <w:r>
              <w:rPr>
                <w:rFonts w:ascii="Times New Roman" w:hAnsi="Times New Roman" w:eastAsia="宋体"/>
                <w:spacing w:val="-2"/>
                <w:position w:val="2"/>
              </w:rPr>
              <w:t>F</w:t>
            </w:r>
            <w:r>
              <w:rPr>
                <w:rFonts w:ascii="Times New Roman" w:hAnsi="Times New Roman" w:eastAsia="宋体"/>
                <w:spacing w:val="-1"/>
                <w:position w:val="2"/>
              </w:rPr>
              <w:t>＇</w:t>
            </w:r>
            <w:r>
              <w:rPr>
                <w:rFonts w:ascii="Times New Roman" w:hAnsi="Times New Roman" w:eastAsia="宋体"/>
                <w:vertAlign w:val="subscript"/>
              </w:rPr>
              <w:t>i 燃料</w:t>
            </w:r>
            <w:r>
              <w:rPr>
                <w:rFonts w:ascii="Times New Roman" w:hAnsi="Times New Roman" w:eastAsia="宋体"/>
                <w:position w:val="2"/>
              </w:rPr>
              <w:t>——i 燃料燃烧氧化亚氮排放因子（tC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position w:val="2"/>
              </w:rPr>
              <w:t xml:space="preserve">/kg </w:t>
            </w:r>
            <w:r>
              <w:rPr>
                <w:rFonts w:ascii="Times New Roman" w:hAnsi="Times New Roman" w:eastAsia="宋体"/>
                <w:spacing w:val="-30"/>
                <w:position w:val="2"/>
              </w:rPr>
              <w:t xml:space="preserve">或 </w:t>
            </w:r>
            <w:r>
              <w:rPr>
                <w:rFonts w:ascii="Times New Roman" w:hAnsi="Times New Roman" w:eastAsia="宋体"/>
                <w:position w:val="2"/>
              </w:rPr>
              <w:t>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position w:val="2"/>
              </w:rPr>
              <w:t>/kNm</w:t>
            </w:r>
            <w:r>
              <w:rPr>
                <w:rFonts w:ascii="Times New Roman" w:hAnsi="Times New Roman" w:eastAsia="宋体"/>
                <w:spacing w:val="1"/>
                <w:position w:val="2"/>
                <w:vertAlign w:val="superscript"/>
              </w:rPr>
              <w:t>3</w:t>
            </w:r>
            <w:r>
              <w:rPr>
                <w:rFonts w:ascii="Times New Roman" w:hAnsi="Times New Roman" w:eastAsia="宋体"/>
                <w:spacing w:val="-120"/>
                <w:position w:val="2"/>
              </w:rPr>
              <w:t>）</w:t>
            </w:r>
          </w:p>
          <w:p>
            <w:pPr>
              <w:pStyle w:val="8"/>
              <w:spacing w:line="360" w:lineRule="auto"/>
              <w:ind w:firstLine="476" w:firstLineChars="200"/>
              <w:rPr>
                <w:rFonts w:ascii="Times New Roman" w:hAnsi="Times New Roman" w:eastAsia="宋体"/>
              </w:rPr>
            </w:pPr>
            <w:r>
              <w:rPr>
                <w:rFonts w:ascii="Times New Roman" w:hAnsi="Times New Roman" w:eastAsia="宋体"/>
                <w:spacing w:val="-1"/>
                <w:position w:val="2"/>
              </w:rPr>
              <w:t>G</w:t>
            </w:r>
            <w:r>
              <w:rPr>
                <w:rFonts w:ascii="Times New Roman" w:hAnsi="Times New Roman" w:eastAsia="宋体"/>
                <w:spacing w:val="1"/>
                <w:position w:val="2"/>
              </w:rPr>
              <w:t>W</w:t>
            </w:r>
            <w:r>
              <w:rPr>
                <w:rFonts w:ascii="Times New Roman" w:hAnsi="Times New Roman" w:eastAsia="宋体"/>
                <w:position w:val="2"/>
              </w:rPr>
              <w:t>P</w:t>
            </w:r>
            <w:r>
              <w:rPr>
                <w:rFonts w:ascii="Times New Roman" w:hAnsi="Times New Roman" w:eastAsia="宋体"/>
                <w:spacing w:val="-1"/>
                <w:vertAlign w:val="subscript"/>
              </w:rPr>
              <w:t>N</w:t>
            </w:r>
            <w:r>
              <w:rPr>
                <w:rFonts w:ascii="Times New Roman" w:hAnsi="Times New Roman" w:eastAsia="宋体"/>
                <w:spacing w:val="1"/>
                <w:vertAlign w:val="subscript"/>
              </w:rPr>
              <w:t>2</w:t>
            </w:r>
            <w:r>
              <w:rPr>
                <w:rFonts w:ascii="Times New Roman" w:hAnsi="Times New Roman" w:eastAsia="宋体"/>
                <w:spacing w:val="-1"/>
                <w:vertAlign w:val="subscript"/>
              </w:rPr>
              <w:t>O</w:t>
            </w:r>
            <w:r>
              <w:rPr>
                <w:rFonts w:ascii="Times New Roman" w:hAnsi="Times New Roman" w:eastAsia="宋体"/>
                <w:position w:val="2"/>
              </w:rPr>
              <w:t xml:space="preserve">——i </w:t>
            </w:r>
            <w:r>
              <w:rPr>
                <w:rFonts w:ascii="Times New Roman" w:hAnsi="Times New Roman" w:eastAsia="宋体"/>
                <w:spacing w:val="-1"/>
                <w:position w:val="2"/>
              </w:rPr>
              <w:t>燃料燃烧二氧化碳排放因子</w:t>
            </w:r>
            <w:r>
              <w:rPr>
                <w:rFonts w:ascii="Times New Roman" w:hAnsi="Times New Roman" w:eastAsia="宋体"/>
                <w:position w:val="2"/>
              </w:rPr>
              <w:t>（tC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position w:val="2"/>
              </w:rPr>
              <w:t xml:space="preserve">/kg </w:t>
            </w:r>
            <w:r>
              <w:rPr>
                <w:rFonts w:ascii="Times New Roman" w:hAnsi="Times New Roman" w:eastAsia="宋体"/>
                <w:spacing w:val="-30"/>
                <w:position w:val="2"/>
              </w:rPr>
              <w:t xml:space="preserve">或 </w:t>
            </w:r>
            <w:r>
              <w:rPr>
                <w:rFonts w:ascii="Times New Roman" w:hAnsi="Times New Roman" w:eastAsia="宋体"/>
                <w:position w:val="2"/>
              </w:rPr>
              <w:t>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position w:val="2"/>
              </w:rPr>
              <w:t>/kNm</w:t>
            </w:r>
            <w:r>
              <w:rPr>
                <w:rFonts w:ascii="Times New Roman" w:hAnsi="Times New Roman" w:eastAsia="宋体"/>
                <w:spacing w:val="1"/>
                <w:position w:val="2"/>
                <w:vertAlign w:val="superscript"/>
              </w:rPr>
              <w:t>3</w:t>
            </w:r>
            <w:r>
              <w:rPr>
                <w:rFonts w:ascii="Times New Roman" w:hAnsi="Times New Roman" w:eastAsia="宋体"/>
                <w:spacing w:val="-120"/>
                <w:position w:val="2"/>
              </w:rPr>
              <w:t xml:space="preserve">）           </w:t>
            </w:r>
            <w:r>
              <w:rPr>
                <w:rFonts w:ascii="Times New Roman" w:hAnsi="Times New Roman" w:eastAsia="宋体"/>
                <w:position w:val="2"/>
              </w:rPr>
              <w:t>EF</w:t>
            </w:r>
            <w:r>
              <w:rPr>
                <w:rFonts w:ascii="Times New Roman" w:hAnsi="Times New Roman" w:eastAsia="宋体"/>
                <w:vertAlign w:val="subscript"/>
              </w:rPr>
              <w:t>i 燃料</w:t>
            </w:r>
            <w:r>
              <w:rPr>
                <w:rFonts w:ascii="Times New Roman" w:hAnsi="Times New Roman" w:eastAsia="宋体"/>
                <w:position w:val="2"/>
              </w:rPr>
              <w:t>——氧化亚氮全球变暖潜势值。</w:t>
            </w:r>
          </w:p>
          <w:p>
            <w:pPr>
              <w:pStyle w:val="8"/>
              <w:spacing w:line="360" w:lineRule="auto"/>
              <w:ind w:firstLine="472" w:firstLineChars="200"/>
              <w:rPr>
                <w:rFonts w:ascii="Times New Roman" w:hAnsi="Times New Roman" w:eastAsia="宋体"/>
              </w:rPr>
            </w:pPr>
            <w:r>
              <w:rPr>
                <w:rFonts w:ascii="Times New Roman" w:hAnsi="Times New Roman" w:eastAsia="宋体"/>
                <w:spacing w:val="-2"/>
                <w:position w:val="2"/>
              </w:rPr>
              <w:t>建设项目用于电力生产之外的其他工业生产的燃料燃烧产生的排放量</w:t>
            </w:r>
            <w:r>
              <w:rPr>
                <w:rFonts w:ascii="Times New Roman" w:hAnsi="Times New Roman" w:eastAsia="宋体"/>
                <w:position w:val="2"/>
              </w:rPr>
              <w:t>（AE</w:t>
            </w:r>
            <w:r>
              <w:rPr>
                <w:rFonts w:ascii="Times New Roman" w:hAnsi="Times New Roman" w:eastAsia="宋体"/>
                <w:vertAlign w:val="subscript"/>
              </w:rPr>
              <w:t>工燃</w:t>
            </w:r>
            <w:r>
              <w:rPr>
                <w:rFonts w:ascii="Times New Roman" w:hAnsi="Times New Roman" w:eastAsia="宋体"/>
                <w:spacing w:val="-48"/>
                <w:position w:val="2"/>
              </w:rPr>
              <w:t>）</w:t>
            </w:r>
            <w:r>
              <w:rPr>
                <w:rFonts w:ascii="Times New Roman" w:hAnsi="Times New Roman" w:eastAsia="宋体"/>
                <w:spacing w:val="-3"/>
                <w:position w:val="2"/>
              </w:rPr>
              <w:t>计算方法见</w:t>
            </w:r>
            <w:r>
              <w:rPr>
                <w:rFonts w:ascii="Times New Roman" w:hAnsi="Times New Roman" w:eastAsia="宋体"/>
              </w:rPr>
              <w:t>公式（4</w:t>
            </w:r>
            <w:r>
              <w:rPr>
                <w:rFonts w:ascii="Times New Roman" w:hAnsi="Times New Roman" w:eastAsia="宋体"/>
                <w:spacing w:val="-120"/>
              </w:rPr>
              <w:t>）</w:t>
            </w:r>
          </w:p>
          <w:p>
            <w:pPr>
              <w:spacing w:line="360" w:lineRule="auto"/>
              <w:ind w:firstLine="480" w:firstLineChars="200"/>
              <w:jc w:val="center"/>
              <w:rPr>
                <w:sz w:val="24"/>
              </w:rPr>
            </w:pPr>
            <w:r>
              <w:rPr>
                <w:position w:val="2"/>
                <w:sz w:val="24"/>
              </w:rPr>
              <w:t>AE</w:t>
            </w:r>
            <w:r>
              <w:rPr>
                <w:sz w:val="24"/>
                <w:vertAlign w:val="subscript"/>
              </w:rPr>
              <w:t>工燃</w:t>
            </w:r>
            <w:r>
              <w:rPr>
                <w:position w:val="2"/>
                <w:sz w:val="24"/>
              </w:rPr>
              <w:t>=∑（AD</w:t>
            </w:r>
            <w:r>
              <w:rPr>
                <w:sz w:val="24"/>
                <w:vertAlign w:val="subscript"/>
              </w:rPr>
              <w:t>i 燃料</w:t>
            </w:r>
            <w:r>
              <w:rPr>
                <w:position w:val="2"/>
                <w:sz w:val="24"/>
              </w:rPr>
              <w:t>*EF</w:t>
            </w:r>
            <w:r>
              <w:rPr>
                <w:sz w:val="24"/>
                <w:vertAlign w:val="subscript"/>
              </w:rPr>
              <w:t>i 燃料</w:t>
            </w:r>
            <w:r>
              <w:rPr>
                <w:position w:val="2"/>
                <w:sz w:val="24"/>
              </w:rPr>
              <w:t>）</w:t>
            </w:r>
            <w:r>
              <w:rPr>
                <w:position w:val="2"/>
                <w:sz w:val="24"/>
              </w:rPr>
              <w:tab/>
            </w:r>
            <w:r>
              <w:rPr>
                <w:position w:val="2"/>
                <w:sz w:val="24"/>
              </w:rPr>
              <w:t>（4）</w:t>
            </w:r>
          </w:p>
          <w:p>
            <w:pPr>
              <w:pStyle w:val="8"/>
              <w:spacing w:line="360" w:lineRule="auto"/>
              <w:ind w:firstLine="480" w:firstLineChars="200"/>
              <w:rPr>
                <w:rFonts w:ascii="Times New Roman" w:hAnsi="Times New Roman" w:eastAsia="宋体"/>
              </w:rPr>
            </w:pPr>
            <w:r>
              <w:rPr>
                <w:rFonts w:ascii="Times New Roman" w:hAnsi="Times New Roman" w:eastAsia="宋体"/>
              </w:rPr>
              <w:t>式中：</w:t>
            </w:r>
          </w:p>
          <w:p>
            <w:pPr>
              <w:pStyle w:val="8"/>
              <w:spacing w:line="360" w:lineRule="auto"/>
              <w:ind w:firstLine="480" w:firstLineChars="200"/>
              <w:rPr>
                <w:rFonts w:ascii="Times New Roman" w:hAnsi="Times New Roman" w:eastAsia="宋体"/>
              </w:rPr>
            </w:pPr>
            <w:r>
              <w:rPr>
                <w:rFonts w:ascii="Times New Roman" w:hAnsi="Times New Roman" w:eastAsia="宋体"/>
              </w:rPr>
              <w:t>i——燃料种类；</w:t>
            </w:r>
          </w:p>
          <w:p>
            <w:pPr>
              <w:pStyle w:val="8"/>
              <w:spacing w:line="360" w:lineRule="auto"/>
              <w:ind w:firstLine="476" w:firstLineChars="200"/>
              <w:rPr>
                <w:rFonts w:ascii="Times New Roman" w:hAnsi="Times New Roman" w:eastAsia="宋体"/>
              </w:rPr>
            </w:pPr>
            <w:r>
              <w:rPr>
                <w:rFonts w:ascii="Times New Roman" w:hAnsi="Times New Roman" w:eastAsia="宋体"/>
                <w:spacing w:val="-1"/>
                <w:position w:val="2"/>
              </w:rPr>
              <w:t>AD</w:t>
            </w:r>
            <w:r>
              <w:rPr>
                <w:rFonts w:ascii="Times New Roman" w:hAnsi="Times New Roman" w:eastAsia="宋体"/>
                <w:vertAlign w:val="subscript"/>
              </w:rPr>
              <w:t>i</w:t>
            </w:r>
            <w:r>
              <w:rPr>
                <w:rFonts w:ascii="Times New Roman" w:hAnsi="Times New Roman" w:eastAsia="宋体"/>
                <w:spacing w:val="1"/>
                <w:vertAlign w:val="subscript"/>
              </w:rPr>
              <w:t xml:space="preserve"> </w:t>
            </w:r>
            <w:r>
              <w:rPr>
                <w:rFonts w:ascii="Times New Roman" w:hAnsi="Times New Roman" w:eastAsia="宋体"/>
                <w:spacing w:val="-1"/>
                <w:vertAlign w:val="subscript"/>
              </w:rPr>
              <w:t>燃料</w:t>
            </w:r>
            <w:r>
              <w:rPr>
                <w:rFonts w:ascii="Times New Roman" w:hAnsi="Times New Roman" w:eastAsia="宋体"/>
                <w:position w:val="2"/>
              </w:rPr>
              <w:t xml:space="preserve">——i </w:t>
            </w:r>
            <w:r>
              <w:rPr>
                <w:rFonts w:ascii="Times New Roman" w:hAnsi="Times New Roman" w:eastAsia="宋体"/>
                <w:spacing w:val="-1"/>
                <w:position w:val="2"/>
              </w:rPr>
              <w:t>燃料燃烧消耗量</w:t>
            </w:r>
            <w:r>
              <w:rPr>
                <w:rFonts w:ascii="Times New Roman" w:hAnsi="Times New Roman" w:eastAsia="宋体"/>
                <w:position w:val="2"/>
              </w:rPr>
              <w:t xml:space="preserve">（t </w:t>
            </w:r>
            <w:r>
              <w:rPr>
                <w:rFonts w:ascii="Times New Roman" w:hAnsi="Times New Roman" w:eastAsia="宋体"/>
                <w:spacing w:val="-30"/>
                <w:position w:val="2"/>
              </w:rPr>
              <w:t xml:space="preserve">或 </w:t>
            </w:r>
            <w:r>
              <w:rPr>
                <w:rFonts w:ascii="Times New Roman" w:hAnsi="Times New Roman" w:eastAsia="宋体"/>
                <w:position w:val="2"/>
              </w:rPr>
              <w:t>kNm</w:t>
            </w:r>
            <w:r>
              <w:rPr>
                <w:rFonts w:ascii="Times New Roman" w:hAnsi="Times New Roman" w:eastAsia="宋体"/>
                <w:spacing w:val="1"/>
                <w:position w:val="2"/>
                <w:vertAlign w:val="superscript"/>
              </w:rPr>
              <w:t>3</w:t>
            </w:r>
            <w:r>
              <w:rPr>
                <w:rFonts w:ascii="Times New Roman" w:hAnsi="Times New Roman" w:eastAsia="宋体"/>
                <w:spacing w:val="-120"/>
                <w:position w:val="2"/>
              </w:rPr>
              <w:t>）</w:t>
            </w:r>
          </w:p>
          <w:p>
            <w:pPr>
              <w:pStyle w:val="8"/>
              <w:spacing w:line="360" w:lineRule="auto"/>
              <w:ind w:firstLine="476" w:firstLineChars="200"/>
              <w:rPr>
                <w:rFonts w:ascii="Times New Roman" w:hAnsi="Times New Roman" w:eastAsia="宋体"/>
                <w:spacing w:val="-120"/>
                <w:position w:val="2"/>
              </w:rPr>
            </w:pPr>
            <w:r>
              <w:rPr>
                <w:rFonts w:ascii="Times New Roman" w:hAnsi="Times New Roman" w:eastAsia="宋体"/>
                <w:spacing w:val="-1"/>
                <w:position w:val="2"/>
              </w:rPr>
              <w:t>E</w:t>
            </w:r>
            <w:r>
              <w:rPr>
                <w:rFonts w:ascii="Times New Roman" w:hAnsi="Times New Roman" w:eastAsia="宋体"/>
                <w:spacing w:val="-2"/>
                <w:position w:val="2"/>
              </w:rPr>
              <w:t>F</w:t>
            </w:r>
            <w:r>
              <w:rPr>
                <w:rFonts w:ascii="Times New Roman" w:hAnsi="Times New Roman" w:eastAsia="宋体"/>
                <w:vertAlign w:val="subscript"/>
              </w:rPr>
              <w:t xml:space="preserve">i </w:t>
            </w:r>
            <w:r>
              <w:rPr>
                <w:rFonts w:ascii="Times New Roman" w:hAnsi="Times New Roman" w:eastAsia="宋体"/>
                <w:spacing w:val="-1"/>
                <w:vertAlign w:val="subscript"/>
              </w:rPr>
              <w:t>燃料</w:t>
            </w:r>
            <w:r>
              <w:rPr>
                <w:rFonts w:ascii="Times New Roman" w:hAnsi="Times New Roman" w:eastAsia="宋体"/>
                <w:position w:val="2"/>
              </w:rPr>
              <w:t>——i 燃料燃烧二氧化碳排放因子（tC</w:t>
            </w:r>
            <w:r>
              <w:rPr>
                <w:rFonts w:ascii="Times New Roman" w:hAnsi="Times New Roman" w:eastAsia="宋体"/>
                <w:spacing w:val="-1"/>
                <w:position w:val="2"/>
              </w:rPr>
              <w:t>O</w:t>
            </w:r>
            <w:r>
              <w:rPr>
                <w:rFonts w:ascii="Times New Roman" w:hAnsi="Times New Roman" w:eastAsia="宋体"/>
                <w:spacing w:val="-2"/>
                <w:vertAlign w:val="subscript"/>
              </w:rPr>
              <w:t>2e</w:t>
            </w:r>
            <w:r>
              <w:rPr>
                <w:rFonts w:ascii="Times New Roman" w:hAnsi="Times New Roman" w:eastAsia="宋体"/>
                <w:position w:val="2"/>
              </w:rPr>
              <w:t xml:space="preserve">/kg </w:t>
            </w:r>
            <w:r>
              <w:rPr>
                <w:rFonts w:ascii="Times New Roman" w:hAnsi="Times New Roman" w:eastAsia="宋体"/>
                <w:spacing w:val="-30"/>
                <w:position w:val="2"/>
              </w:rPr>
              <w:t xml:space="preserve">或 </w:t>
            </w:r>
            <w:r>
              <w:rPr>
                <w:rFonts w:ascii="Times New Roman" w:hAnsi="Times New Roman" w:eastAsia="宋体"/>
                <w:position w:val="2"/>
              </w:rPr>
              <w:t>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position w:val="2"/>
              </w:rPr>
              <w:t>/kNm</w:t>
            </w:r>
            <w:r>
              <w:rPr>
                <w:rFonts w:ascii="Times New Roman" w:hAnsi="Times New Roman" w:eastAsia="宋体"/>
                <w:spacing w:val="1"/>
                <w:position w:val="2"/>
                <w:vertAlign w:val="superscript"/>
              </w:rPr>
              <w:t>3</w:t>
            </w:r>
            <w:r>
              <w:rPr>
                <w:rFonts w:ascii="Times New Roman" w:hAnsi="Times New Roman" w:eastAsia="宋体"/>
                <w:spacing w:val="-120"/>
                <w:position w:val="2"/>
              </w:rPr>
              <w:t xml:space="preserve">）                   </w:t>
            </w:r>
          </w:p>
          <w:p>
            <w:pPr>
              <w:pStyle w:val="8"/>
              <w:spacing w:line="360" w:lineRule="auto"/>
              <w:ind w:firstLine="480" w:firstLineChars="200"/>
              <w:rPr>
                <w:rFonts w:ascii="Times New Roman" w:hAnsi="Times New Roman" w:eastAsia="宋体"/>
              </w:rPr>
            </w:pPr>
            <w:r>
              <w:rPr>
                <w:rFonts w:ascii="Times New Roman" w:hAnsi="Times New Roman" w:eastAsia="宋体"/>
                <w:position w:val="2"/>
              </w:rPr>
              <w:t>本项目不涉及工业生产过程排放量（AE</w:t>
            </w:r>
            <w:r>
              <w:rPr>
                <w:rFonts w:ascii="Times New Roman" w:hAnsi="Times New Roman" w:eastAsia="宋体"/>
                <w:vertAlign w:val="subscript"/>
              </w:rPr>
              <w:t>工业生产过程</w:t>
            </w:r>
            <w:r>
              <w:rPr>
                <w:rFonts w:ascii="Times New Roman" w:hAnsi="Times New Roman" w:eastAsia="宋体"/>
                <w:spacing w:val="-120"/>
                <w:position w:val="2"/>
              </w:rPr>
              <w:t>）</w:t>
            </w:r>
          </w:p>
          <w:p>
            <w:pPr>
              <w:spacing w:line="360" w:lineRule="auto"/>
              <w:ind w:firstLine="476" w:firstLineChars="200"/>
              <w:rPr>
                <w:sz w:val="24"/>
              </w:rPr>
            </w:pPr>
            <w:r>
              <w:rPr>
                <w:spacing w:val="-1"/>
                <w:position w:val="2"/>
                <w:sz w:val="24"/>
              </w:rPr>
              <w:t>净调入电力和热力消耗碳排放总量</w:t>
            </w:r>
            <w:r>
              <w:rPr>
                <w:position w:val="2"/>
                <w:sz w:val="24"/>
              </w:rPr>
              <w:t>（</w:t>
            </w:r>
            <w:r>
              <w:rPr>
                <w:spacing w:val="-1"/>
                <w:position w:val="2"/>
                <w:sz w:val="24"/>
              </w:rPr>
              <w:t>A</w:t>
            </w:r>
            <w:r>
              <w:rPr>
                <w:position w:val="2"/>
                <w:sz w:val="24"/>
              </w:rPr>
              <w:t>E</w:t>
            </w:r>
            <w:r>
              <w:rPr>
                <w:spacing w:val="-1"/>
                <w:position w:val="2"/>
                <w:sz w:val="24"/>
              </w:rPr>
              <w:t xml:space="preserve"> </w:t>
            </w:r>
            <w:r>
              <w:rPr>
                <w:sz w:val="24"/>
              </w:rPr>
              <w:t>净调入电力和热力</w:t>
            </w:r>
            <w:r>
              <w:rPr>
                <w:position w:val="2"/>
                <w:sz w:val="24"/>
              </w:rPr>
              <w:t>）计算方法见公式（5</w:t>
            </w:r>
            <w:r>
              <w:rPr>
                <w:spacing w:val="-120"/>
                <w:position w:val="2"/>
                <w:sz w:val="24"/>
              </w:rPr>
              <w:t>）</w:t>
            </w:r>
          </w:p>
          <w:p>
            <w:pPr>
              <w:spacing w:line="360" w:lineRule="auto"/>
              <w:ind w:firstLine="480" w:firstLineChars="200"/>
              <w:jc w:val="center"/>
              <w:rPr>
                <w:sz w:val="24"/>
              </w:rPr>
            </w:pPr>
            <w:r>
              <w:rPr>
                <w:position w:val="2"/>
                <w:sz w:val="24"/>
              </w:rPr>
              <w:t>AE</w:t>
            </w:r>
            <w:r>
              <w:rPr>
                <w:spacing w:val="-2"/>
                <w:position w:val="2"/>
                <w:sz w:val="24"/>
              </w:rPr>
              <w:t xml:space="preserve"> </w:t>
            </w:r>
            <w:r>
              <w:rPr>
                <w:sz w:val="24"/>
                <w:vertAlign w:val="subscript"/>
              </w:rPr>
              <w:t>净调入电力和热力</w:t>
            </w:r>
            <w:r>
              <w:rPr>
                <w:position w:val="2"/>
                <w:sz w:val="24"/>
              </w:rPr>
              <w:t>=AE</w:t>
            </w:r>
            <w:r>
              <w:rPr>
                <w:spacing w:val="-1"/>
                <w:position w:val="2"/>
                <w:sz w:val="24"/>
              </w:rPr>
              <w:t xml:space="preserve"> </w:t>
            </w:r>
            <w:r>
              <w:rPr>
                <w:sz w:val="24"/>
                <w:vertAlign w:val="subscript"/>
              </w:rPr>
              <w:t>净调入电力</w:t>
            </w:r>
            <w:r>
              <w:rPr>
                <w:position w:val="2"/>
                <w:sz w:val="24"/>
              </w:rPr>
              <w:t>+AE</w:t>
            </w:r>
            <w:r>
              <w:rPr>
                <w:spacing w:val="-1"/>
                <w:position w:val="2"/>
                <w:sz w:val="24"/>
              </w:rPr>
              <w:t xml:space="preserve"> </w:t>
            </w:r>
            <w:r>
              <w:rPr>
                <w:sz w:val="24"/>
                <w:vertAlign w:val="subscript"/>
              </w:rPr>
              <w:t>净调入热力</w:t>
            </w:r>
            <w:r>
              <w:rPr>
                <w:sz w:val="24"/>
              </w:rPr>
              <w:tab/>
            </w:r>
            <w:r>
              <w:rPr>
                <w:position w:val="2"/>
                <w:sz w:val="24"/>
              </w:rPr>
              <w:t>（5）</w:t>
            </w:r>
          </w:p>
          <w:p>
            <w:pPr>
              <w:pStyle w:val="8"/>
              <w:spacing w:line="360" w:lineRule="auto"/>
              <w:ind w:firstLine="480" w:firstLineChars="200"/>
              <w:rPr>
                <w:rFonts w:ascii="Times New Roman" w:hAnsi="Times New Roman" w:eastAsia="宋体"/>
              </w:rPr>
            </w:pPr>
            <w:r>
              <w:rPr>
                <w:rFonts w:ascii="Times New Roman" w:hAnsi="Times New Roman" w:eastAsia="宋体"/>
              </w:rPr>
              <w:t>式中：</w:t>
            </w:r>
          </w:p>
          <w:p>
            <w:pPr>
              <w:spacing w:line="360" w:lineRule="auto"/>
              <w:ind w:firstLine="476" w:firstLineChars="200"/>
              <w:rPr>
                <w:sz w:val="24"/>
              </w:rPr>
            </w:pPr>
            <w:r>
              <w:rPr>
                <w:spacing w:val="-1"/>
                <w:position w:val="2"/>
                <w:sz w:val="24"/>
              </w:rPr>
              <w:t>A</w:t>
            </w:r>
            <w:r>
              <w:rPr>
                <w:position w:val="2"/>
                <w:sz w:val="24"/>
              </w:rPr>
              <w:t>E</w:t>
            </w:r>
            <w:r>
              <w:rPr>
                <w:spacing w:val="-1"/>
                <w:position w:val="2"/>
                <w:sz w:val="24"/>
              </w:rPr>
              <w:t xml:space="preserve"> </w:t>
            </w:r>
            <w:r>
              <w:rPr>
                <w:spacing w:val="-1"/>
                <w:sz w:val="24"/>
                <w:vertAlign w:val="subscript"/>
              </w:rPr>
              <w:t>净调入电力</w:t>
            </w:r>
            <w:r>
              <w:rPr>
                <w:position w:val="2"/>
                <w:sz w:val="24"/>
              </w:rPr>
              <w:t>——净调入电力消耗碳排放量（tC</w:t>
            </w:r>
            <w:r>
              <w:rPr>
                <w:spacing w:val="-1"/>
                <w:position w:val="2"/>
                <w:sz w:val="24"/>
              </w:rPr>
              <w:t>O</w:t>
            </w:r>
            <w:r>
              <w:rPr>
                <w:spacing w:val="-2"/>
                <w:sz w:val="24"/>
                <w:vertAlign w:val="subscript"/>
              </w:rPr>
              <w:t>2e</w:t>
            </w:r>
            <w:r>
              <w:rPr>
                <w:spacing w:val="-120"/>
                <w:position w:val="2"/>
                <w:sz w:val="24"/>
              </w:rPr>
              <w:t>）</w:t>
            </w:r>
          </w:p>
          <w:p>
            <w:pPr>
              <w:spacing w:line="360" w:lineRule="auto"/>
              <w:ind w:firstLine="476" w:firstLineChars="200"/>
              <w:rPr>
                <w:sz w:val="24"/>
              </w:rPr>
            </w:pPr>
            <w:r>
              <w:rPr>
                <w:spacing w:val="-1"/>
                <w:position w:val="2"/>
                <w:sz w:val="24"/>
              </w:rPr>
              <w:t>A</w:t>
            </w:r>
            <w:r>
              <w:rPr>
                <w:position w:val="2"/>
                <w:sz w:val="24"/>
              </w:rPr>
              <w:t>E</w:t>
            </w:r>
            <w:r>
              <w:rPr>
                <w:spacing w:val="-1"/>
                <w:position w:val="2"/>
                <w:sz w:val="24"/>
              </w:rPr>
              <w:t xml:space="preserve"> </w:t>
            </w:r>
            <w:r>
              <w:rPr>
                <w:spacing w:val="-1"/>
                <w:sz w:val="24"/>
                <w:vertAlign w:val="subscript"/>
              </w:rPr>
              <w:t>净调入热力</w:t>
            </w:r>
            <w:r>
              <w:rPr>
                <w:position w:val="2"/>
                <w:sz w:val="24"/>
              </w:rPr>
              <w:t>——净调入热力消耗碳排放量（tC</w:t>
            </w:r>
            <w:r>
              <w:rPr>
                <w:spacing w:val="-1"/>
                <w:position w:val="2"/>
                <w:sz w:val="24"/>
              </w:rPr>
              <w:t>O</w:t>
            </w:r>
            <w:r>
              <w:rPr>
                <w:spacing w:val="-2"/>
                <w:sz w:val="24"/>
                <w:vertAlign w:val="subscript"/>
              </w:rPr>
              <w:t>2e</w:t>
            </w:r>
            <w:r>
              <w:rPr>
                <w:spacing w:val="-120"/>
                <w:position w:val="2"/>
                <w:sz w:val="24"/>
              </w:rPr>
              <w:t>）</w:t>
            </w:r>
          </w:p>
          <w:p>
            <w:pPr>
              <w:pStyle w:val="8"/>
              <w:spacing w:line="360" w:lineRule="auto"/>
              <w:ind w:firstLine="476" w:firstLineChars="200"/>
              <w:rPr>
                <w:rFonts w:ascii="Times New Roman" w:hAnsi="Times New Roman" w:eastAsia="宋体"/>
              </w:rPr>
            </w:pPr>
            <w:r>
              <w:rPr>
                <w:rFonts w:ascii="Times New Roman" w:hAnsi="Times New Roman" w:eastAsia="宋体"/>
                <w:spacing w:val="-1"/>
                <w:position w:val="2"/>
              </w:rPr>
              <w:t>其中，净调入电力消耗碳排放量</w:t>
            </w:r>
            <w:r>
              <w:rPr>
                <w:rFonts w:ascii="Times New Roman" w:hAnsi="Times New Roman" w:eastAsia="宋体"/>
                <w:position w:val="2"/>
              </w:rPr>
              <w:t>（</w:t>
            </w:r>
            <w:r>
              <w:rPr>
                <w:rFonts w:ascii="Times New Roman" w:hAnsi="Times New Roman" w:eastAsia="宋体"/>
                <w:spacing w:val="-1"/>
                <w:position w:val="2"/>
              </w:rPr>
              <w:t>A</w:t>
            </w:r>
            <w:r>
              <w:rPr>
                <w:rFonts w:ascii="Times New Roman" w:hAnsi="Times New Roman" w:eastAsia="宋体"/>
                <w:position w:val="2"/>
              </w:rPr>
              <w:t>E</w:t>
            </w:r>
            <w:r>
              <w:rPr>
                <w:rFonts w:ascii="Times New Roman" w:hAnsi="Times New Roman" w:eastAsia="宋体"/>
                <w:spacing w:val="-1"/>
                <w:position w:val="2"/>
              </w:rPr>
              <w:t xml:space="preserve"> </w:t>
            </w:r>
            <w:r>
              <w:rPr>
                <w:rFonts w:ascii="Times New Roman" w:hAnsi="Times New Roman" w:eastAsia="宋体"/>
              </w:rPr>
              <w:t>净调入电力</w:t>
            </w:r>
            <w:r>
              <w:rPr>
                <w:rFonts w:ascii="Times New Roman" w:hAnsi="Times New Roman" w:eastAsia="宋体"/>
                <w:position w:val="2"/>
              </w:rPr>
              <w:t>）计算方法见公式（6</w:t>
            </w:r>
            <w:r>
              <w:rPr>
                <w:rFonts w:ascii="Times New Roman" w:hAnsi="Times New Roman" w:eastAsia="宋体"/>
                <w:spacing w:val="-120"/>
                <w:position w:val="2"/>
              </w:rPr>
              <w:t>）</w:t>
            </w:r>
          </w:p>
          <w:p>
            <w:pPr>
              <w:spacing w:line="360" w:lineRule="auto"/>
              <w:ind w:firstLine="480" w:firstLineChars="200"/>
              <w:jc w:val="center"/>
              <w:rPr>
                <w:sz w:val="24"/>
              </w:rPr>
            </w:pPr>
            <w:r>
              <w:rPr>
                <w:position w:val="2"/>
                <w:sz w:val="24"/>
              </w:rPr>
              <w:t>AE</w:t>
            </w:r>
            <w:r>
              <w:rPr>
                <w:spacing w:val="-2"/>
                <w:position w:val="2"/>
                <w:sz w:val="24"/>
              </w:rPr>
              <w:t xml:space="preserve"> </w:t>
            </w:r>
            <w:r>
              <w:rPr>
                <w:sz w:val="24"/>
                <w:vertAlign w:val="subscript"/>
              </w:rPr>
              <w:t>净调入电力</w:t>
            </w:r>
            <w:r>
              <w:rPr>
                <w:position w:val="2"/>
                <w:sz w:val="24"/>
              </w:rPr>
              <w:t>=AD</w:t>
            </w:r>
            <w:r>
              <w:rPr>
                <w:spacing w:val="-1"/>
                <w:position w:val="2"/>
                <w:sz w:val="24"/>
              </w:rPr>
              <w:t xml:space="preserve"> </w:t>
            </w:r>
            <w:r>
              <w:rPr>
                <w:sz w:val="24"/>
                <w:vertAlign w:val="subscript"/>
              </w:rPr>
              <w:t>净调入电量</w:t>
            </w:r>
            <w:r>
              <w:rPr>
                <w:position w:val="2"/>
                <w:sz w:val="24"/>
              </w:rPr>
              <w:t>*EF</w:t>
            </w:r>
            <w:r>
              <w:rPr>
                <w:spacing w:val="-2"/>
                <w:position w:val="2"/>
                <w:sz w:val="24"/>
              </w:rPr>
              <w:t xml:space="preserve"> </w:t>
            </w:r>
            <w:r>
              <w:rPr>
                <w:sz w:val="24"/>
                <w:vertAlign w:val="subscript"/>
              </w:rPr>
              <w:t>电力</w:t>
            </w:r>
            <w:r>
              <w:rPr>
                <w:sz w:val="24"/>
              </w:rPr>
              <w:tab/>
            </w:r>
            <w:r>
              <w:rPr>
                <w:position w:val="2"/>
                <w:sz w:val="24"/>
              </w:rPr>
              <w:t>（6）</w:t>
            </w:r>
          </w:p>
          <w:p>
            <w:pPr>
              <w:pStyle w:val="8"/>
              <w:spacing w:line="360" w:lineRule="auto"/>
              <w:ind w:firstLine="480" w:firstLineChars="200"/>
              <w:rPr>
                <w:rFonts w:ascii="Times New Roman" w:hAnsi="Times New Roman" w:eastAsia="宋体"/>
              </w:rPr>
            </w:pPr>
            <w:r>
              <w:rPr>
                <w:rFonts w:ascii="Times New Roman" w:hAnsi="Times New Roman" w:eastAsia="宋体"/>
              </w:rPr>
              <w:t>式中：</w:t>
            </w:r>
          </w:p>
          <w:p>
            <w:pPr>
              <w:spacing w:line="360" w:lineRule="auto"/>
              <w:ind w:firstLine="476" w:firstLineChars="200"/>
              <w:rPr>
                <w:sz w:val="24"/>
              </w:rPr>
            </w:pPr>
            <w:r>
              <w:rPr>
                <w:spacing w:val="-1"/>
                <w:position w:val="2"/>
                <w:sz w:val="24"/>
              </w:rPr>
              <w:t>A</w:t>
            </w:r>
            <w:r>
              <w:rPr>
                <w:position w:val="2"/>
                <w:sz w:val="24"/>
              </w:rPr>
              <w:t>D</w:t>
            </w:r>
            <w:r>
              <w:rPr>
                <w:spacing w:val="-1"/>
                <w:position w:val="2"/>
                <w:sz w:val="24"/>
              </w:rPr>
              <w:t xml:space="preserve"> </w:t>
            </w:r>
            <w:r>
              <w:rPr>
                <w:spacing w:val="-1"/>
                <w:sz w:val="24"/>
                <w:vertAlign w:val="subscript"/>
              </w:rPr>
              <w:t>净调入电量</w:t>
            </w:r>
            <w:r>
              <w:rPr>
                <w:position w:val="2"/>
                <w:sz w:val="24"/>
              </w:rPr>
              <w:t>——净调入电力消耗量（M</w:t>
            </w:r>
            <w:r>
              <w:rPr>
                <w:spacing w:val="1"/>
                <w:position w:val="2"/>
                <w:sz w:val="24"/>
              </w:rPr>
              <w:t>W</w:t>
            </w:r>
            <w:r>
              <w:rPr>
                <w:position w:val="2"/>
                <w:sz w:val="24"/>
              </w:rPr>
              <w:t>h</w:t>
            </w:r>
            <w:r>
              <w:rPr>
                <w:spacing w:val="-120"/>
                <w:position w:val="2"/>
                <w:sz w:val="24"/>
              </w:rPr>
              <w:t>）</w:t>
            </w:r>
            <w:r>
              <w:rPr>
                <w:position w:val="2"/>
                <w:sz w:val="24"/>
              </w:rPr>
              <w:t>；</w:t>
            </w:r>
          </w:p>
          <w:p>
            <w:pPr>
              <w:pStyle w:val="8"/>
              <w:spacing w:line="360" w:lineRule="auto"/>
              <w:ind w:firstLine="476" w:firstLineChars="200"/>
              <w:rPr>
                <w:rFonts w:ascii="Times New Roman" w:hAnsi="Times New Roman" w:eastAsia="宋体"/>
                <w:kern w:val="0"/>
              </w:rPr>
            </w:pPr>
            <w:r>
              <w:rPr>
                <w:rFonts w:ascii="Times New Roman" w:hAnsi="Times New Roman" w:eastAsia="宋体"/>
                <w:spacing w:val="-1"/>
                <w:position w:val="2"/>
              </w:rPr>
              <w:t>E</w:t>
            </w:r>
            <w:r>
              <w:rPr>
                <w:rFonts w:ascii="Times New Roman" w:hAnsi="Times New Roman" w:eastAsia="宋体"/>
                <w:position w:val="2"/>
              </w:rPr>
              <w:t>F</w:t>
            </w:r>
            <w:r>
              <w:rPr>
                <w:rFonts w:ascii="Times New Roman" w:hAnsi="Times New Roman" w:eastAsia="宋体"/>
                <w:spacing w:val="-2"/>
                <w:position w:val="2"/>
              </w:rPr>
              <w:t xml:space="preserve"> </w:t>
            </w:r>
            <w:r>
              <w:rPr>
                <w:rFonts w:ascii="Times New Roman" w:hAnsi="Times New Roman" w:eastAsia="宋体"/>
                <w:spacing w:val="-1"/>
                <w:vertAlign w:val="subscript"/>
              </w:rPr>
              <w:t>电力</w:t>
            </w:r>
            <w:r>
              <w:rPr>
                <w:rFonts w:ascii="Times New Roman" w:hAnsi="Times New Roman" w:eastAsia="宋体"/>
                <w:position w:val="2"/>
              </w:rPr>
              <w:t>——电力排放因子（tC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vertAlign w:val="subscript"/>
              </w:rPr>
              <w:t>e</w:t>
            </w:r>
            <w:r>
              <w:rPr>
                <w:rFonts w:ascii="Times New Roman" w:hAnsi="Times New Roman" w:eastAsia="宋体"/>
                <w:spacing w:val="18"/>
              </w:rPr>
              <w:t xml:space="preserve"> </w:t>
            </w:r>
            <w:r>
              <w:rPr>
                <w:rFonts w:ascii="Times New Roman" w:hAnsi="Times New Roman" w:eastAsia="宋体"/>
                <w:position w:val="2"/>
              </w:rPr>
              <w:t>/M</w:t>
            </w:r>
            <w:r>
              <w:rPr>
                <w:rFonts w:ascii="Times New Roman" w:hAnsi="Times New Roman" w:eastAsia="宋体"/>
                <w:spacing w:val="1"/>
                <w:position w:val="2"/>
              </w:rPr>
              <w:t>W</w:t>
            </w:r>
            <w:r>
              <w:rPr>
                <w:rFonts w:ascii="Times New Roman" w:hAnsi="Times New Roman" w:eastAsia="宋体"/>
                <w:position w:val="2"/>
              </w:rPr>
              <w:t>h</w:t>
            </w:r>
            <w:r>
              <w:rPr>
                <w:rFonts w:ascii="Times New Roman" w:hAnsi="Times New Roman" w:eastAsia="宋体"/>
                <w:spacing w:val="-120"/>
                <w:position w:val="2"/>
              </w:rPr>
              <w:t>）</w:t>
            </w:r>
            <w:r>
              <w:rPr>
                <w:rFonts w:ascii="Times New Roman" w:hAnsi="Times New Roman" w:eastAsia="宋体"/>
                <w:spacing w:val="-21"/>
                <w:position w:val="2"/>
              </w:rPr>
              <w:t xml:space="preserve">，为 </w:t>
            </w:r>
            <w:r>
              <w:rPr>
                <w:rFonts w:ascii="Times New Roman" w:hAnsi="Times New Roman" w:eastAsia="宋体"/>
                <w:position w:val="2"/>
              </w:rPr>
              <w:t>0.9944 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vertAlign w:val="subscript"/>
              </w:rPr>
              <w:t>e</w:t>
            </w:r>
            <w:r>
              <w:rPr>
                <w:rFonts w:ascii="Times New Roman" w:hAnsi="Times New Roman" w:eastAsia="宋体"/>
                <w:spacing w:val="18"/>
              </w:rPr>
              <w:t xml:space="preserve"> </w:t>
            </w:r>
            <w:r>
              <w:rPr>
                <w:rFonts w:ascii="Times New Roman" w:hAnsi="Times New Roman" w:eastAsia="宋体"/>
                <w:position w:val="2"/>
              </w:rPr>
              <w:t>/M</w:t>
            </w:r>
            <w:r>
              <w:rPr>
                <w:rFonts w:ascii="Times New Roman" w:hAnsi="Times New Roman" w:eastAsia="宋体"/>
                <w:spacing w:val="1"/>
                <w:position w:val="2"/>
              </w:rPr>
              <w:t>W</w:t>
            </w:r>
            <w:r>
              <w:rPr>
                <w:rFonts w:ascii="Times New Roman" w:hAnsi="Times New Roman" w:eastAsia="宋体"/>
                <w:position w:val="2"/>
              </w:rPr>
              <w:t>h。</w:t>
            </w:r>
            <w:r>
              <w:rPr>
                <w:rFonts w:ascii="Times New Roman" w:hAnsi="Times New Roman" w:eastAsia="宋体"/>
                <w:spacing w:val="-1"/>
                <w:position w:val="2"/>
              </w:rPr>
              <w:t>其中，净调入热力消耗碳排放量</w:t>
            </w:r>
            <w:r>
              <w:rPr>
                <w:rFonts w:ascii="Times New Roman" w:hAnsi="Times New Roman" w:eastAsia="宋体"/>
                <w:position w:val="2"/>
              </w:rPr>
              <w:t>（</w:t>
            </w:r>
            <w:r>
              <w:rPr>
                <w:rFonts w:ascii="Times New Roman" w:hAnsi="Times New Roman" w:eastAsia="宋体"/>
                <w:spacing w:val="-1"/>
                <w:position w:val="2"/>
              </w:rPr>
              <w:t>A</w:t>
            </w:r>
            <w:r>
              <w:rPr>
                <w:rFonts w:ascii="Times New Roman" w:hAnsi="Times New Roman" w:eastAsia="宋体"/>
                <w:position w:val="2"/>
              </w:rPr>
              <w:t>E</w:t>
            </w:r>
            <w:r>
              <w:rPr>
                <w:rFonts w:ascii="Times New Roman" w:hAnsi="Times New Roman" w:eastAsia="宋体"/>
                <w:spacing w:val="-1"/>
                <w:position w:val="2"/>
              </w:rPr>
              <w:t xml:space="preserve"> </w:t>
            </w:r>
            <w:r>
              <w:rPr>
                <w:rFonts w:ascii="Times New Roman" w:hAnsi="Times New Roman" w:eastAsia="宋体"/>
                <w:vertAlign w:val="subscript"/>
              </w:rPr>
              <w:t>净调入热力</w:t>
            </w:r>
            <w:r>
              <w:rPr>
                <w:rFonts w:ascii="Times New Roman" w:hAnsi="Times New Roman" w:eastAsia="宋体"/>
                <w:position w:val="2"/>
              </w:rPr>
              <w:t>）计算方法见公式</w:t>
            </w:r>
            <w:r>
              <w:rPr>
                <w:rFonts w:ascii="Times New Roman" w:hAnsi="Times New Roman" w:eastAsia="宋体"/>
                <w:spacing w:val="-4"/>
                <w:position w:val="2"/>
              </w:rPr>
              <w:t>（7</w:t>
            </w:r>
            <w:r>
              <w:rPr>
                <w:rFonts w:ascii="Times New Roman" w:hAnsi="Times New Roman" w:eastAsia="宋体"/>
                <w:spacing w:val="-124"/>
                <w:position w:val="2"/>
              </w:rPr>
              <w:t>）：</w:t>
            </w:r>
          </w:p>
          <w:p>
            <w:pPr>
              <w:spacing w:line="360" w:lineRule="auto"/>
              <w:ind w:firstLine="480" w:firstLineChars="200"/>
              <w:rPr>
                <w:sz w:val="24"/>
              </w:rPr>
            </w:pPr>
            <w:r>
              <w:rPr>
                <w:position w:val="2"/>
                <w:sz w:val="24"/>
              </w:rPr>
              <w:t>AE</w:t>
            </w:r>
            <w:r>
              <w:rPr>
                <w:spacing w:val="-2"/>
                <w:position w:val="2"/>
                <w:sz w:val="24"/>
              </w:rPr>
              <w:t xml:space="preserve"> </w:t>
            </w:r>
            <w:r>
              <w:rPr>
                <w:sz w:val="24"/>
                <w:vertAlign w:val="subscript"/>
              </w:rPr>
              <w:t>净调入热力</w:t>
            </w:r>
            <w:r>
              <w:rPr>
                <w:position w:val="2"/>
                <w:sz w:val="24"/>
              </w:rPr>
              <w:t>=AD</w:t>
            </w:r>
            <w:r>
              <w:rPr>
                <w:spacing w:val="-1"/>
                <w:position w:val="2"/>
                <w:sz w:val="24"/>
              </w:rPr>
              <w:t xml:space="preserve"> </w:t>
            </w:r>
            <w:r>
              <w:rPr>
                <w:sz w:val="24"/>
                <w:vertAlign w:val="subscript"/>
              </w:rPr>
              <w:t>净调入热力消耗量</w:t>
            </w:r>
            <w:r>
              <w:rPr>
                <w:position w:val="2"/>
                <w:sz w:val="24"/>
              </w:rPr>
              <w:t>*EF</w:t>
            </w:r>
            <w:r>
              <w:rPr>
                <w:spacing w:val="-2"/>
                <w:position w:val="2"/>
                <w:sz w:val="24"/>
              </w:rPr>
              <w:t xml:space="preserve"> </w:t>
            </w:r>
            <w:r>
              <w:rPr>
                <w:sz w:val="24"/>
                <w:vertAlign w:val="subscript"/>
              </w:rPr>
              <w:t>热力</w:t>
            </w:r>
            <w:r>
              <w:rPr>
                <w:sz w:val="24"/>
              </w:rPr>
              <w:tab/>
            </w:r>
            <w:r>
              <w:rPr>
                <w:position w:val="2"/>
                <w:sz w:val="24"/>
              </w:rPr>
              <w:t>（7）</w:t>
            </w:r>
          </w:p>
          <w:p>
            <w:pPr>
              <w:pStyle w:val="8"/>
              <w:spacing w:line="360" w:lineRule="auto"/>
              <w:ind w:firstLine="480" w:firstLineChars="200"/>
              <w:rPr>
                <w:rFonts w:ascii="Times New Roman" w:hAnsi="Times New Roman" w:eastAsia="宋体"/>
              </w:rPr>
            </w:pPr>
            <w:r>
              <w:rPr>
                <w:rFonts w:ascii="Times New Roman" w:hAnsi="Times New Roman" w:eastAsia="宋体"/>
              </w:rPr>
              <w:t>式中：</w:t>
            </w:r>
          </w:p>
          <w:p>
            <w:pPr>
              <w:spacing w:line="360" w:lineRule="auto"/>
              <w:ind w:firstLine="476" w:firstLineChars="200"/>
              <w:rPr>
                <w:sz w:val="24"/>
              </w:rPr>
            </w:pPr>
            <w:r>
              <w:rPr>
                <w:spacing w:val="-1"/>
                <w:position w:val="2"/>
                <w:sz w:val="24"/>
              </w:rPr>
              <w:t>A</w:t>
            </w:r>
            <w:r>
              <w:rPr>
                <w:position w:val="2"/>
                <w:sz w:val="24"/>
              </w:rPr>
              <w:t>D</w:t>
            </w:r>
            <w:r>
              <w:rPr>
                <w:spacing w:val="-1"/>
                <w:position w:val="2"/>
                <w:sz w:val="24"/>
              </w:rPr>
              <w:t xml:space="preserve"> </w:t>
            </w:r>
            <w:r>
              <w:rPr>
                <w:spacing w:val="-1"/>
                <w:sz w:val="24"/>
                <w:vertAlign w:val="subscript"/>
              </w:rPr>
              <w:t>净调入热力消耗量</w:t>
            </w:r>
            <w:r>
              <w:rPr>
                <w:position w:val="2"/>
                <w:sz w:val="24"/>
              </w:rPr>
              <w:t>——净调入热力消耗量（</w:t>
            </w:r>
            <w:r>
              <w:rPr>
                <w:spacing w:val="-1"/>
                <w:position w:val="2"/>
                <w:sz w:val="24"/>
              </w:rPr>
              <w:t>G</w:t>
            </w:r>
            <w:r>
              <w:rPr>
                <w:position w:val="2"/>
                <w:sz w:val="24"/>
              </w:rPr>
              <w:t>j</w:t>
            </w:r>
            <w:r>
              <w:rPr>
                <w:spacing w:val="-120"/>
                <w:position w:val="2"/>
                <w:sz w:val="24"/>
              </w:rPr>
              <w:t>）</w:t>
            </w:r>
          </w:p>
          <w:p>
            <w:pPr>
              <w:pStyle w:val="8"/>
              <w:spacing w:line="360" w:lineRule="auto"/>
              <w:ind w:firstLine="476" w:firstLineChars="200"/>
              <w:rPr>
                <w:rFonts w:ascii="Times New Roman" w:hAnsi="Times New Roman" w:eastAsia="宋体"/>
              </w:rPr>
            </w:pPr>
            <w:r>
              <w:rPr>
                <w:rFonts w:ascii="Times New Roman" w:hAnsi="Times New Roman" w:eastAsia="宋体"/>
                <w:spacing w:val="-1"/>
                <w:position w:val="2"/>
              </w:rPr>
              <w:t>E</w:t>
            </w:r>
            <w:r>
              <w:rPr>
                <w:rFonts w:ascii="Times New Roman" w:hAnsi="Times New Roman" w:eastAsia="宋体"/>
                <w:position w:val="2"/>
              </w:rPr>
              <w:t>F</w:t>
            </w:r>
            <w:r>
              <w:rPr>
                <w:rFonts w:ascii="Times New Roman" w:hAnsi="Times New Roman" w:eastAsia="宋体"/>
                <w:spacing w:val="-2"/>
                <w:position w:val="2"/>
              </w:rPr>
              <w:t xml:space="preserve"> </w:t>
            </w:r>
            <w:r>
              <w:rPr>
                <w:rFonts w:ascii="Times New Roman" w:hAnsi="Times New Roman" w:eastAsia="宋体"/>
                <w:spacing w:val="-1"/>
                <w:vertAlign w:val="subscript"/>
              </w:rPr>
              <w:t>热力</w:t>
            </w:r>
            <w:r>
              <w:rPr>
                <w:rFonts w:ascii="Times New Roman" w:hAnsi="Times New Roman" w:eastAsia="宋体"/>
                <w:position w:val="2"/>
              </w:rPr>
              <w:t>——热力排放因子（tC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vertAlign w:val="subscript"/>
              </w:rPr>
              <w:t>e</w:t>
            </w:r>
            <w:r>
              <w:rPr>
                <w:rFonts w:ascii="Times New Roman" w:hAnsi="Times New Roman" w:eastAsia="宋体"/>
                <w:spacing w:val="18"/>
              </w:rPr>
              <w:t xml:space="preserve"> </w:t>
            </w:r>
            <w:r>
              <w:rPr>
                <w:rFonts w:ascii="Times New Roman" w:hAnsi="Times New Roman" w:eastAsia="宋体"/>
                <w:position w:val="2"/>
              </w:rPr>
              <w:t xml:space="preserve">/ </w:t>
            </w:r>
            <w:r>
              <w:rPr>
                <w:rFonts w:ascii="Times New Roman" w:hAnsi="Times New Roman" w:eastAsia="宋体"/>
                <w:spacing w:val="-1"/>
                <w:position w:val="2"/>
              </w:rPr>
              <w:t>G</w:t>
            </w:r>
            <w:r>
              <w:rPr>
                <w:rFonts w:ascii="Times New Roman" w:hAnsi="Times New Roman" w:eastAsia="宋体"/>
                <w:position w:val="2"/>
              </w:rPr>
              <w:t>j</w:t>
            </w:r>
            <w:r>
              <w:rPr>
                <w:rFonts w:ascii="Times New Roman" w:hAnsi="Times New Roman" w:eastAsia="宋体"/>
                <w:spacing w:val="-120"/>
                <w:position w:val="2"/>
              </w:rPr>
              <w:t>）</w:t>
            </w:r>
            <w:r>
              <w:rPr>
                <w:rFonts w:ascii="Times New Roman" w:hAnsi="Times New Roman" w:eastAsia="宋体"/>
                <w:spacing w:val="-20"/>
                <w:position w:val="2"/>
              </w:rPr>
              <w:t xml:space="preserve">，为 </w:t>
            </w:r>
            <w:r>
              <w:rPr>
                <w:rFonts w:ascii="Times New Roman" w:hAnsi="Times New Roman" w:eastAsia="宋体"/>
                <w:position w:val="2"/>
              </w:rPr>
              <w:t>0.</w:t>
            </w:r>
            <w:r>
              <w:rPr>
                <w:rFonts w:ascii="Times New Roman" w:hAnsi="Times New Roman" w:eastAsia="宋体"/>
                <w:spacing w:val="-10"/>
                <w:position w:val="2"/>
              </w:rPr>
              <w:t>1</w:t>
            </w:r>
            <w:r>
              <w:rPr>
                <w:rFonts w:ascii="Times New Roman" w:hAnsi="Times New Roman" w:eastAsia="宋体"/>
                <w:position w:val="2"/>
              </w:rPr>
              <w:t>1 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vertAlign w:val="subscript"/>
              </w:rPr>
              <w:t>e</w:t>
            </w:r>
            <w:r>
              <w:rPr>
                <w:rFonts w:ascii="Times New Roman" w:hAnsi="Times New Roman" w:eastAsia="宋体"/>
                <w:spacing w:val="18"/>
              </w:rPr>
              <w:t xml:space="preserve"> </w:t>
            </w:r>
            <w:r>
              <w:rPr>
                <w:rFonts w:ascii="Times New Roman" w:hAnsi="Times New Roman" w:eastAsia="宋体"/>
                <w:position w:val="2"/>
              </w:rPr>
              <w:t>/</w:t>
            </w:r>
            <w:r>
              <w:rPr>
                <w:rFonts w:ascii="Times New Roman" w:hAnsi="Times New Roman" w:eastAsia="宋体"/>
                <w:spacing w:val="-1"/>
                <w:position w:val="2"/>
              </w:rPr>
              <w:t>G</w:t>
            </w:r>
            <w:r>
              <w:rPr>
                <w:rFonts w:ascii="Times New Roman" w:hAnsi="Times New Roman" w:eastAsia="宋体"/>
                <w:position w:val="2"/>
              </w:rPr>
              <w:t>j。</w:t>
            </w:r>
          </w:p>
          <w:p>
            <w:pPr>
              <w:autoSpaceDE w:val="0"/>
              <w:autoSpaceDN w:val="0"/>
              <w:adjustRightInd w:val="0"/>
              <w:snapToGrid w:val="0"/>
              <w:jc w:val="center"/>
              <w:rPr>
                <w:b/>
                <w:bCs/>
                <w:sz w:val="24"/>
              </w:rPr>
            </w:pPr>
            <w:bookmarkStart w:id="11" w:name="_Toc71671776"/>
            <w:bookmarkStart w:id="12" w:name="_Toc68895592"/>
            <w:r>
              <w:rPr>
                <w:b/>
                <w:bCs/>
                <w:sz w:val="24"/>
              </w:rPr>
              <w:t>表4</w:t>
            </w:r>
            <w:r>
              <w:rPr>
                <w:rFonts w:hint="eastAsia"/>
                <w:b/>
                <w:bCs/>
                <w:sz w:val="24"/>
                <w:lang w:val="en-US" w:eastAsia="zh-CN"/>
              </w:rPr>
              <w:t>-16</w:t>
            </w:r>
            <w:r>
              <w:rPr>
                <w:b/>
                <w:bCs/>
                <w:sz w:val="24"/>
              </w:rPr>
              <w:t xml:space="preserve"> </w:t>
            </w:r>
            <w:r>
              <w:rPr>
                <w:rFonts w:hint="eastAsia"/>
                <w:b/>
                <w:bCs/>
                <w:sz w:val="24"/>
              </w:rPr>
              <w:t xml:space="preserve"> </w:t>
            </w:r>
            <w:r>
              <w:rPr>
                <w:b/>
                <w:bCs/>
                <w:sz w:val="24"/>
              </w:rPr>
              <w:t>营运期使用的材料表</w:t>
            </w:r>
            <w:bookmarkEnd w:id="11"/>
            <w:bookmarkEnd w:id="12"/>
          </w:p>
          <w:tbl>
            <w:tblPr>
              <w:tblStyle w:val="23"/>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3906"/>
              <w:gridCol w:w="446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332" w:type="pct"/>
                  <w:noWrap w:val="0"/>
                  <w:vAlign w:val="center"/>
                </w:tcPr>
                <w:p>
                  <w:pPr>
                    <w:pStyle w:val="49"/>
                    <w:adjustRightInd w:val="0"/>
                    <w:snapToGrid w:val="0"/>
                    <w:jc w:val="center"/>
                    <w:rPr>
                      <w:rFonts w:ascii="Times New Roman" w:cs="Times New Roman"/>
                      <w:b/>
                      <w:bCs/>
                      <w:sz w:val="21"/>
                      <w:szCs w:val="21"/>
                    </w:rPr>
                  </w:pPr>
                  <w:r>
                    <w:rPr>
                      <w:rFonts w:ascii="Times New Roman" w:cs="Times New Roman"/>
                      <w:b/>
                      <w:bCs/>
                      <w:sz w:val="21"/>
                      <w:szCs w:val="21"/>
                    </w:rPr>
                    <w:t>类别</w:t>
                  </w:r>
                </w:p>
              </w:tc>
              <w:tc>
                <w:tcPr>
                  <w:tcW w:w="2667" w:type="pct"/>
                  <w:noWrap w:val="0"/>
                  <w:vAlign w:val="center"/>
                </w:tcPr>
                <w:p>
                  <w:pPr>
                    <w:pStyle w:val="49"/>
                    <w:adjustRightInd w:val="0"/>
                    <w:snapToGrid w:val="0"/>
                    <w:jc w:val="center"/>
                    <w:rPr>
                      <w:rFonts w:ascii="Times New Roman" w:cs="Times New Roman"/>
                      <w:b/>
                      <w:bCs/>
                      <w:sz w:val="21"/>
                      <w:szCs w:val="21"/>
                    </w:rPr>
                  </w:pPr>
                  <w:r>
                    <w:rPr>
                      <w:rFonts w:ascii="Times New Roman" w:cs="Times New Roman"/>
                      <w:b/>
                      <w:bCs/>
                      <w:sz w:val="21"/>
                      <w:szCs w:val="21"/>
                    </w:rPr>
                    <w:t>使用量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332" w:type="pct"/>
                  <w:noWrap w:val="0"/>
                  <w:vAlign w:val="center"/>
                </w:tcPr>
                <w:p>
                  <w:pPr>
                    <w:pStyle w:val="49"/>
                    <w:adjustRightInd w:val="0"/>
                    <w:snapToGrid w:val="0"/>
                    <w:jc w:val="center"/>
                    <w:rPr>
                      <w:rFonts w:ascii="Times New Roman" w:cs="Times New Roman"/>
                      <w:sz w:val="21"/>
                      <w:szCs w:val="21"/>
                    </w:rPr>
                  </w:pPr>
                  <w:r>
                    <w:rPr>
                      <w:rFonts w:ascii="Times New Roman" w:cs="Times New Roman"/>
                      <w:sz w:val="21"/>
                      <w:szCs w:val="21"/>
                    </w:rPr>
                    <w:t>电力使用量</w:t>
                  </w:r>
                </w:p>
              </w:tc>
              <w:tc>
                <w:tcPr>
                  <w:tcW w:w="2667" w:type="pct"/>
                  <w:noWrap w:val="0"/>
                  <w:vAlign w:val="center"/>
                </w:tcPr>
                <w:p>
                  <w:pPr>
                    <w:pStyle w:val="49"/>
                    <w:adjustRightInd w:val="0"/>
                    <w:snapToGrid w:val="0"/>
                    <w:jc w:val="center"/>
                    <w:rPr>
                      <w:rFonts w:ascii="Times New Roman" w:cs="Times New Roman"/>
                      <w:sz w:val="21"/>
                      <w:szCs w:val="21"/>
                    </w:rPr>
                  </w:pPr>
                  <w:r>
                    <w:rPr>
                      <w:rFonts w:hint="eastAsia" w:ascii="Times New Roman" w:cs="Times New Roman"/>
                      <w:sz w:val="21"/>
                      <w:szCs w:val="21"/>
                      <w:lang w:val="en-US" w:eastAsia="zh-CN"/>
                    </w:rPr>
                    <w:t>1200</w:t>
                  </w:r>
                  <w:r>
                    <w:rPr>
                      <w:rFonts w:hint="eastAsia" w:ascii="Times New Roman" w:cs="Times New Roman"/>
                      <w:sz w:val="21"/>
                      <w:szCs w:val="21"/>
                    </w:rPr>
                    <w:t>M</w:t>
                  </w:r>
                  <w:r>
                    <w:rPr>
                      <w:rFonts w:ascii="Times New Roman" w:cs="Times New Roman"/>
                      <w:sz w:val="21"/>
                      <w:szCs w:val="21"/>
                    </w:rPr>
                    <w:t>Wh</w:t>
                  </w:r>
                </w:p>
              </w:tc>
            </w:tr>
          </w:tbl>
          <w:p>
            <w:pPr>
              <w:pStyle w:val="8"/>
              <w:adjustRightInd w:val="0"/>
              <w:snapToGrid w:val="0"/>
              <w:spacing w:before="120" w:beforeLines="50" w:line="360" w:lineRule="auto"/>
              <w:ind w:firstLine="480" w:firstLineChars="200"/>
              <w:rPr>
                <w:rFonts w:ascii="Times New Roman" w:hAnsi="Times New Roman" w:eastAsia="宋体"/>
                <w:kern w:val="0"/>
              </w:rPr>
            </w:pPr>
            <w:r>
              <w:rPr>
                <w:rFonts w:ascii="Times New Roman" w:hAnsi="Times New Roman" w:eastAsia="宋体"/>
              </w:rPr>
              <w:t>本项目碳排放总量如下：</w:t>
            </w:r>
          </w:p>
          <w:p>
            <w:pPr>
              <w:pStyle w:val="8"/>
              <w:adjustRightInd w:val="0"/>
              <w:snapToGrid w:val="0"/>
              <w:spacing w:line="360" w:lineRule="auto"/>
              <w:ind w:firstLine="480" w:firstLineChars="200"/>
              <w:rPr>
                <w:rFonts w:ascii="Times New Roman" w:hAnsi="Times New Roman" w:eastAsia="宋体"/>
                <w:position w:val="2"/>
              </w:rPr>
            </w:pPr>
            <w:r>
              <w:rPr>
                <w:rFonts w:ascii="Times New Roman" w:hAnsi="Times New Roman" w:eastAsia="宋体"/>
                <w:position w:val="2"/>
              </w:rPr>
              <w:t xml:space="preserve">AE </w:t>
            </w:r>
            <w:r>
              <w:rPr>
                <w:rFonts w:ascii="Times New Roman" w:hAnsi="Times New Roman" w:eastAsia="宋体"/>
                <w:vertAlign w:val="subscript"/>
              </w:rPr>
              <w:t>电燃</w:t>
            </w:r>
            <w:r>
              <w:rPr>
                <w:rFonts w:ascii="Times New Roman" w:hAnsi="Times New Roman" w:eastAsia="宋体"/>
                <w:position w:val="2"/>
              </w:rPr>
              <w:t>=0</w:t>
            </w:r>
          </w:p>
          <w:p>
            <w:pPr>
              <w:pStyle w:val="8"/>
              <w:adjustRightInd w:val="0"/>
              <w:snapToGrid w:val="0"/>
              <w:spacing w:line="360" w:lineRule="auto"/>
              <w:ind w:firstLine="480" w:firstLineChars="200"/>
              <w:rPr>
                <w:rFonts w:hint="eastAsia" w:ascii="Times New Roman" w:hAnsi="Times New Roman" w:eastAsia="宋体"/>
                <w:position w:val="2"/>
              </w:rPr>
            </w:pPr>
            <w:r>
              <w:rPr>
                <w:rFonts w:ascii="Times New Roman" w:hAnsi="Times New Roman" w:eastAsia="宋体"/>
                <w:position w:val="2"/>
              </w:rPr>
              <w:t>AE</w:t>
            </w:r>
            <w:r>
              <w:rPr>
                <w:rFonts w:ascii="Times New Roman" w:hAnsi="Times New Roman" w:eastAsia="宋体"/>
                <w:position w:val="2"/>
                <w:vertAlign w:val="subscript"/>
              </w:rPr>
              <w:t>工业生产过程</w:t>
            </w:r>
            <w:r>
              <w:rPr>
                <w:rFonts w:ascii="Times New Roman" w:hAnsi="Times New Roman" w:eastAsia="宋体"/>
                <w:position w:val="2"/>
              </w:rPr>
              <w:t>=</w:t>
            </w:r>
            <w:r>
              <w:rPr>
                <w:rFonts w:hint="eastAsia" w:ascii="Times New Roman" w:hAnsi="Times New Roman" w:eastAsia="宋体"/>
                <w:position w:val="2"/>
              </w:rPr>
              <w:t>0</w:t>
            </w:r>
          </w:p>
          <w:p>
            <w:pPr>
              <w:pStyle w:val="8"/>
              <w:adjustRightInd w:val="0"/>
              <w:snapToGrid w:val="0"/>
              <w:spacing w:line="360" w:lineRule="auto"/>
              <w:ind w:firstLine="480" w:firstLineChars="200"/>
              <w:rPr>
                <w:rFonts w:ascii="Times New Roman" w:hAnsi="Times New Roman" w:eastAsia="宋体"/>
              </w:rPr>
            </w:pPr>
            <w:r>
              <w:rPr>
                <w:rFonts w:ascii="Times New Roman" w:hAnsi="Times New Roman" w:eastAsia="宋体"/>
                <w:position w:val="2"/>
              </w:rPr>
              <w:t xml:space="preserve">AE </w:t>
            </w:r>
            <w:r>
              <w:rPr>
                <w:rFonts w:ascii="Times New Roman" w:hAnsi="Times New Roman" w:eastAsia="宋体"/>
                <w:vertAlign w:val="subscript"/>
              </w:rPr>
              <w:t>工燃</w:t>
            </w:r>
            <w:r>
              <w:rPr>
                <w:rFonts w:ascii="Times New Roman" w:hAnsi="Times New Roman" w:eastAsia="宋体"/>
                <w:position w:val="2"/>
              </w:rPr>
              <w:t>=0</w:t>
            </w:r>
          </w:p>
          <w:p>
            <w:pPr>
              <w:pStyle w:val="8"/>
              <w:adjustRightInd w:val="0"/>
              <w:snapToGrid w:val="0"/>
              <w:spacing w:line="360" w:lineRule="auto"/>
              <w:ind w:firstLine="480" w:firstLineChars="200"/>
              <w:rPr>
                <w:rFonts w:ascii="Times New Roman" w:hAnsi="Times New Roman" w:eastAsia="宋体"/>
              </w:rPr>
            </w:pPr>
            <w:r>
              <w:rPr>
                <w:rFonts w:ascii="Times New Roman" w:hAnsi="Times New Roman" w:eastAsia="宋体"/>
                <w:position w:val="2"/>
              </w:rPr>
              <w:t>AE</w:t>
            </w:r>
            <w:r>
              <w:rPr>
                <w:rFonts w:ascii="Times New Roman" w:hAnsi="Times New Roman" w:eastAsia="宋体"/>
                <w:vertAlign w:val="subscript"/>
              </w:rPr>
              <w:t>净调入电力</w:t>
            </w:r>
            <w:r>
              <w:rPr>
                <w:rFonts w:ascii="Times New Roman" w:hAnsi="Times New Roman" w:eastAsia="宋体"/>
                <w:position w:val="2"/>
              </w:rPr>
              <w:t>=</w:t>
            </w:r>
            <w:r>
              <w:rPr>
                <w:rFonts w:hint="eastAsia" w:ascii="Times New Roman" w:hAnsi="Times New Roman" w:eastAsia="宋体"/>
                <w:position w:val="2"/>
                <w:lang w:val="en-US" w:eastAsia="zh-CN"/>
              </w:rPr>
              <w:t>1200</w:t>
            </w:r>
            <w:r>
              <w:rPr>
                <w:rFonts w:ascii="Times New Roman" w:hAnsi="Times New Roman" w:eastAsia="宋体"/>
                <w:position w:val="2"/>
              </w:rPr>
              <w:t>MWh*0.9944 tCO</w:t>
            </w:r>
            <w:r>
              <w:rPr>
                <w:rFonts w:ascii="Times New Roman" w:hAnsi="Times New Roman" w:eastAsia="宋体"/>
                <w:vertAlign w:val="subscript"/>
              </w:rPr>
              <w:t>2e</w:t>
            </w:r>
            <w:r>
              <w:rPr>
                <w:rFonts w:ascii="Times New Roman" w:hAnsi="Times New Roman" w:eastAsia="宋体"/>
              </w:rPr>
              <w:t xml:space="preserve"> </w:t>
            </w:r>
            <w:r>
              <w:rPr>
                <w:rFonts w:ascii="Times New Roman" w:hAnsi="Times New Roman" w:eastAsia="宋体"/>
                <w:position w:val="2"/>
              </w:rPr>
              <w:t>/MWh=</w:t>
            </w:r>
            <w:r>
              <w:rPr>
                <w:rFonts w:hint="eastAsia" w:ascii="Times New Roman" w:hAnsi="Times New Roman" w:eastAsia="宋体"/>
                <w:position w:val="2"/>
                <w:lang w:val="en-US" w:eastAsia="zh-CN"/>
              </w:rPr>
              <w:t>1193.28</w:t>
            </w:r>
            <w:r>
              <w:rPr>
                <w:rFonts w:ascii="Times New Roman" w:hAnsi="Times New Roman" w:eastAsia="宋体"/>
                <w:position w:val="2"/>
              </w:rPr>
              <w:t>tCO</w:t>
            </w:r>
            <w:r>
              <w:rPr>
                <w:rFonts w:ascii="Times New Roman" w:hAnsi="Times New Roman" w:eastAsia="宋体"/>
                <w:vertAlign w:val="subscript"/>
              </w:rPr>
              <w:t>2e</w:t>
            </w:r>
          </w:p>
          <w:p>
            <w:pPr>
              <w:adjustRightInd w:val="0"/>
              <w:snapToGrid w:val="0"/>
              <w:spacing w:line="360" w:lineRule="auto"/>
              <w:ind w:firstLine="480" w:firstLineChars="200"/>
              <w:rPr>
                <w:sz w:val="24"/>
              </w:rPr>
            </w:pPr>
            <w:r>
              <w:rPr>
                <w:position w:val="2"/>
                <w:sz w:val="24"/>
              </w:rPr>
              <w:t xml:space="preserve">AE </w:t>
            </w:r>
            <w:r>
              <w:rPr>
                <w:sz w:val="24"/>
                <w:vertAlign w:val="subscript"/>
              </w:rPr>
              <w:t>净调入热力</w:t>
            </w:r>
            <w:r>
              <w:rPr>
                <w:position w:val="2"/>
                <w:sz w:val="24"/>
              </w:rPr>
              <w:t>=0</w:t>
            </w:r>
          </w:p>
          <w:p>
            <w:pPr>
              <w:pStyle w:val="8"/>
              <w:adjustRightInd w:val="0"/>
              <w:snapToGrid w:val="0"/>
              <w:spacing w:line="360" w:lineRule="auto"/>
              <w:ind w:firstLine="480" w:firstLineChars="200"/>
              <w:rPr>
                <w:rFonts w:ascii="Times New Roman" w:hAnsi="Times New Roman" w:eastAsia="宋体"/>
              </w:rPr>
            </w:pPr>
            <w:r>
              <w:rPr>
                <w:rFonts w:ascii="Times New Roman" w:hAnsi="Times New Roman" w:eastAsia="宋体"/>
                <w:position w:val="2"/>
              </w:rPr>
              <w:t>AE</w:t>
            </w:r>
            <w:r>
              <w:rPr>
                <w:rFonts w:ascii="Times New Roman" w:hAnsi="Times New Roman" w:eastAsia="宋体"/>
                <w:position w:val="2"/>
                <w:vertAlign w:val="subscript"/>
              </w:rPr>
              <w:t xml:space="preserve"> 总</w:t>
            </w:r>
            <w:r>
              <w:rPr>
                <w:rFonts w:ascii="Times New Roman" w:hAnsi="Times New Roman" w:eastAsia="宋体"/>
                <w:position w:val="2"/>
              </w:rPr>
              <w:t>=</w:t>
            </w:r>
            <w:r>
              <w:rPr>
                <w:rFonts w:hint="eastAsia" w:ascii="Times New Roman" w:hAnsi="Times New Roman" w:eastAsia="宋体"/>
                <w:position w:val="2"/>
                <w:lang w:val="en-US" w:eastAsia="zh-CN"/>
              </w:rPr>
              <w:t>1193.28</w:t>
            </w:r>
            <w:r>
              <w:rPr>
                <w:rFonts w:ascii="Times New Roman" w:hAnsi="Times New Roman" w:eastAsia="宋体"/>
                <w:position w:val="2"/>
              </w:rPr>
              <w:t>tCO</w:t>
            </w:r>
            <w:r>
              <w:rPr>
                <w:rFonts w:ascii="Times New Roman" w:hAnsi="Times New Roman" w:eastAsia="宋体"/>
                <w:vertAlign w:val="subscript"/>
              </w:rPr>
              <w:t>2e</w:t>
            </w:r>
          </w:p>
          <w:p>
            <w:pPr>
              <w:pStyle w:val="8"/>
              <w:adjustRightInd w:val="0"/>
              <w:snapToGrid w:val="0"/>
              <w:spacing w:line="360" w:lineRule="auto"/>
              <w:ind w:firstLine="480" w:firstLineChars="200"/>
              <w:rPr>
                <w:rFonts w:ascii="Times New Roman" w:hAnsi="Times New Roman" w:eastAsia="宋体"/>
              </w:rPr>
            </w:pPr>
            <w:r>
              <w:rPr>
                <w:rFonts w:ascii="Times New Roman" w:hAnsi="Times New Roman" w:eastAsia="宋体"/>
                <w:position w:val="2"/>
              </w:rPr>
              <w:t>碳排放强度（单位用地碳排放量）=</w:t>
            </w:r>
            <w:r>
              <w:rPr>
                <w:rFonts w:hint="eastAsia" w:ascii="Times New Roman" w:hAnsi="Times New Roman" w:eastAsia="宋体"/>
                <w:position w:val="2"/>
                <w:lang w:val="en-US" w:eastAsia="zh-CN"/>
              </w:rPr>
              <w:t>1193.28</w:t>
            </w:r>
            <w:r>
              <w:rPr>
                <w:rFonts w:hint="eastAsia" w:ascii="Times New Roman" w:hAnsi="Times New Roman" w:eastAsia="宋体"/>
                <w:position w:val="2"/>
              </w:rPr>
              <w:t>/1</w:t>
            </w:r>
            <w:r>
              <w:rPr>
                <w:rFonts w:hint="eastAsia" w:ascii="Times New Roman" w:hAnsi="Times New Roman" w:eastAsia="宋体"/>
                <w:position w:val="2"/>
                <w:lang w:val="en-US" w:eastAsia="zh-CN"/>
              </w:rPr>
              <w:t>900</w:t>
            </w:r>
            <w:r>
              <w:rPr>
                <w:rFonts w:ascii="Times New Roman" w:hAnsi="Times New Roman" w:eastAsia="宋体"/>
                <w:position w:val="2"/>
              </w:rPr>
              <w:t>=</w:t>
            </w:r>
            <w:r>
              <w:rPr>
                <w:rFonts w:hint="eastAsia" w:ascii="Times New Roman" w:hAnsi="Times New Roman" w:eastAsia="宋体"/>
                <w:position w:val="2"/>
              </w:rPr>
              <w:t>0.</w:t>
            </w:r>
            <w:r>
              <w:rPr>
                <w:rFonts w:hint="eastAsia" w:ascii="Times New Roman" w:hAnsi="Times New Roman" w:eastAsia="宋体"/>
                <w:position w:val="2"/>
                <w:lang w:val="en-US" w:eastAsia="zh-CN"/>
              </w:rPr>
              <w:t>628</w:t>
            </w:r>
            <w:r>
              <w:rPr>
                <w:rFonts w:ascii="Times New Roman" w:hAnsi="Times New Roman" w:eastAsia="宋体"/>
                <w:position w:val="2"/>
              </w:rPr>
              <w:t>tCO</w:t>
            </w:r>
            <w:r>
              <w:rPr>
                <w:rFonts w:ascii="Times New Roman" w:hAnsi="Times New Roman" w:eastAsia="宋体"/>
                <w:vertAlign w:val="subscript"/>
              </w:rPr>
              <w:t>2e</w:t>
            </w:r>
            <w:r>
              <w:rPr>
                <w:rFonts w:ascii="Times New Roman" w:hAnsi="Times New Roman" w:eastAsia="宋体"/>
                <w:position w:val="2"/>
              </w:rPr>
              <w:t>/m</w:t>
            </w:r>
            <w:r>
              <w:rPr>
                <w:rFonts w:ascii="Times New Roman" w:hAnsi="Times New Roman" w:eastAsia="宋体"/>
                <w:position w:val="2"/>
                <w:vertAlign w:val="superscript"/>
              </w:rPr>
              <w:t>2</w:t>
            </w:r>
          </w:p>
          <w:p>
            <w:pPr>
              <w:pStyle w:val="8"/>
              <w:adjustRightInd w:val="0"/>
              <w:snapToGrid w:val="0"/>
              <w:spacing w:line="360" w:lineRule="auto"/>
              <w:ind w:firstLine="480" w:firstLineChars="200"/>
              <w:rPr>
                <w:rFonts w:ascii="Times New Roman" w:hAnsi="Times New Roman" w:eastAsia="宋体"/>
              </w:rPr>
            </w:pPr>
            <w:r>
              <w:rPr>
                <w:rFonts w:ascii="Times New Roman" w:hAnsi="Times New Roman" w:eastAsia="宋体"/>
                <w:position w:val="2"/>
              </w:rPr>
              <w:t>碳排放强度（单位工业总产值碳排放量）=</w:t>
            </w:r>
            <w:r>
              <w:rPr>
                <w:rFonts w:hint="eastAsia" w:ascii="Times New Roman" w:hAnsi="Times New Roman" w:eastAsia="宋体"/>
                <w:position w:val="2"/>
                <w:lang w:val="en-US" w:eastAsia="zh-CN"/>
              </w:rPr>
              <w:t>1193.28</w:t>
            </w:r>
            <w:r>
              <w:rPr>
                <w:rFonts w:ascii="Times New Roman" w:hAnsi="Times New Roman" w:eastAsia="宋体"/>
                <w:position w:val="2"/>
              </w:rPr>
              <w:t>/</w:t>
            </w:r>
            <w:r>
              <w:rPr>
                <w:rFonts w:hint="eastAsia" w:ascii="Times New Roman" w:hAnsi="Times New Roman" w:eastAsia="宋体"/>
                <w:position w:val="2"/>
                <w:lang w:val="en-US" w:eastAsia="zh-CN"/>
              </w:rPr>
              <w:t>1200</w:t>
            </w:r>
            <w:r>
              <w:rPr>
                <w:rFonts w:ascii="Times New Roman" w:hAnsi="Times New Roman" w:eastAsia="宋体"/>
                <w:position w:val="2"/>
              </w:rPr>
              <w:t>=0.</w:t>
            </w:r>
            <w:r>
              <w:rPr>
                <w:rFonts w:hint="eastAsia" w:ascii="Times New Roman" w:hAnsi="Times New Roman" w:eastAsia="宋体"/>
                <w:position w:val="2"/>
              </w:rPr>
              <w:t>9944</w:t>
            </w:r>
            <w:r>
              <w:rPr>
                <w:rFonts w:ascii="Times New Roman" w:hAnsi="Times New Roman" w:eastAsia="宋体"/>
                <w:position w:val="2"/>
              </w:rPr>
              <w:t>tCO</w:t>
            </w:r>
            <w:r>
              <w:rPr>
                <w:rFonts w:ascii="Times New Roman" w:hAnsi="Times New Roman" w:eastAsia="宋体"/>
                <w:vertAlign w:val="subscript"/>
              </w:rPr>
              <w:t>2e</w:t>
            </w:r>
            <w:r>
              <w:rPr>
                <w:rFonts w:ascii="Times New Roman" w:hAnsi="Times New Roman" w:eastAsia="宋体"/>
                <w:position w:val="2"/>
              </w:rPr>
              <w:t>/万元</w:t>
            </w:r>
          </w:p>
          <w:p>
            <w:pPr>
              <w:autoSpaceDE w:val="0"/>
              <w:autoSpaceDN w:val="0"/>
              <w:jc w:val="center"/>
              <w:rPr>
                <w:b/>
                <w:bCs/>
                <w:sz w:val="24"/>
              </w:rPr>
            </w:pPr>
            <w:bookmarkStart w:id="13" w:name="_Toc71671777"/>
            <w:bookmarkStart w:id="14" w:name="_Toc68895593"/>
            <w:r>
              <w:rPr>
                <w:b/>
                <w:bCs/>
                <w:sz w:val="24"/>
              </w:rPr>
              <w:t>表4-</w:t>
            </w:r>
            <w:r>
              <w:rPr>
                <w:rFonts w:hint="eastAsia"/>
                <w:b/>
                <w:bCs/>
                <w:sz w:val="24"/>
                <w:lang w:val="en-US" w:eastAsia="zh-CN"/>
              </w:rPr>
              <w:t>17</w:t>
            </w:r>
            <w:r>
              <w:rPr>
                <w:rFonts w:hint="eastAsia"/>
                <w:b/>
                <w:bCs/>
                <w:sz w:val="24"/>
              </w:rPr>
              <w:t xml:space="preserve">  </w:t>
            </w:r>
            <w:r>
              <w:rPr>
                <w:b/>
                <w:bCs/>
                <w:sz w:val="24"/>
              </w:rPr>
              <w:t>碳排放汇总表</w:t>
            </w:r>
            <w:bookmarkEnd w:id="13"/>
            <w:bookmarkEnd w:id="14"/>
          </w:p>
          <w:tbl>
            <w:tblPr>
              <w:tblStyle w:val="23"/>
              <w:tblW w:w="4999"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802"/>
              <w:gridCol w:w="1248"/>
              <w:gridCol w:w="2379"/>
              <w:gridCol w:w="394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44" w:type="pct"/>
                  <w:gridSpan w:val="3"/>
                  <w:noWrap w:val="0"/>
                  <w:vAlign w:val="center"/>
                </w:tcPr>
                <w:p>
                  <w:pPr>
                    <w:pStyle w:val="49"/>
                    <w:adjustRightInd w:val="0"/>
                    <w:snapToGrid w:val="0"/>
                    <w:jc w:val="center"/>
                    <w:rPr>
                      <w:rFonts w:ascii="Times New Roman" w:cs="Times New Roman"/>
                      <w:b/>
                      <w:bCs/>
                      <w:sz w:val="21"/>
                      <w:szCs w:val="21"/>
                    </w:rPr>
                  </w:pPr>
                  <w:r>
                    <w:rPr>
                      <w:rFonts w:ascii="Times New Roman" w:cs="Times New Roman"/>
                      <w:b/>
                      <w:bCs/>
                      <w:sz w:val="21"/>
                      <w:szCs w:val="21"/>
                    </w:rPr>
                    <w:t>排放类型</w:t>
                  </w:r>
                </w:p>
              </w:tc>
              <w:tc>
                <w:tcPr>
                  <w:tcW w:w="2355" w:type="pct"/>
                  <w:noWrap w:val="0"/>
                  <w:vAlign w:val="center"/>
                </w:tcPr>
                <w:p>
                  <w:pPr>
                    <w:pStyle w:val="49"/>
                    <w:adjustRightInd w:val="0"/>
                    <w:snapToGrid w:val="0"/>
                    <w:jc w:val="center"/>
                    <w:rPr>
                      <w:rFonts w:ascii="Times New Roman" w:cs="Times New Roman"/>
                      <w:b/>
                      <w:bCs/>
                      <w:sz w:val="21"/>
                      <w:szCs w:val="21"/>
                    </w:rPr>
                  </w:pPr>
                  <w:r>
                    <w:rPr>
                      <w:rFonts w:ascii="Times New Roman" w:cs="Times New Roman"/>
                      <w:b/>
                      <w:bCs/>
                      <w:sz w:val="21"/>
                      <w:szCs w:val="21"/>
                    </w:rPr>
                    <w:t>碳排放量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79" w:type="pct"/>
                  <w:noWrap w:val="0"/>
                  <w:vAlign w:val="center"/>
                </w:tcPr>
                <w:p>
                  <w:pPr>
                    <w:pStyle w:val="49"/>
                    <w:adjustRightInd w:val="0"/>
                    <w:snapToGrid w:val="0"/>
                    <w:jc w:val="center"/>
                    <w:rPr>
                      <w:rFonts w:ascii="Times New Roman" w:cs="Times New Roman"/>
                      <w:sz w:val="21"/>
                      <w:szCs w:val="21"/>
                    </w:rPr>
                  </w:pPr>
                  <w:r>
                    <w:rPr>
                      <w:rFonts w:ascii="Times New Roman" w:cs="Times New Roman"/>
                      <w:sz w:val="21"/>
                      <w:szCs w:val="21"/>
                    </w:rPr>
                    <w:t>营运期</w:t>
                  </w:r>
                </w:p>
              </w:tc>
              <w:tc>
                <w:tcPr>
                  <w:tcW w:w="745" w:type="pct"/>
                  <w:noWrap w:val="0"/>
                  <w:vAlign w:val="center"/>
                </w:tcPr>
                <w:p>
                  <w:pPr>
                    <w:pStyle w:val="49"/>
                    <w:adjustRightInd w:val="0"/>
                    <w:snapToGrid w:val="0"/>
                    <w:jc w:val="center"/>
                    <w:rPr>
                      <w:rFonts w:ascii="Times New Roman" w:cs="Times New Roman"/>
                      <w:sz w:val="21"/>
                      <w:szCs w:val="21"/>
                    </w:rPr>
                  </w:pPr>
                  <w:r>
                    <w:rPr>
                      <w:rFonts w:ascii="Times New Roman" w:cs="Times New Roman"/>
                      <w:sz w:val="21"/>
                      <w:szCs w:val="21"/>
                    </w:rPr>
                    <w:t>间接排放</w:t>
                  </w:r>
                </w:p>
              </w:tc>
              <w:tc>
                <w:tcPr>
                  <w:tcW w:w="1419" w:type="pct"/>
                  <w:noWrap w:val="0"/>
                  <w:vAlign w:val="center"/>
                </w:tcPr>
                <w:p>
                  <w:pPr>
                    <w:pStyle w:val="49"/>
                    <w:adjustRightInd w:val="0"/>
                    <w:snapToGrid w:val="0"/>
                    <w:jc w:val="center"/>
                    <w:rPr>
                      <w:rFonts w:ascii="Times New Roman" w:cs="Times New Roman"/>
                      <w:sz w:val="21"/>
                      <w:szCs w:val="21"/>
                    </w:rPr>
                  </w:pPr>
                  <w:r>
                    <w:rPr>
                      <w:rFonts w:ascii="Times New Roman" w:cs="Times New Roman"/>
                      <w:sz w:val="21"/>
                      <w:szCs w:val="21"/>
                    </w:rPr>
                    <w:t>净调入电力和热力</w:t>
                  </w:r>
                </w:p>
              </w:tc>
              <w:tc>
                <w:tcPr>
                  <w:tcW w:w="2355" w:type="pct"/>
                  <w:noWrap w:val="0"/>
                  <w:vAlign w:val="center"/>
                </w:tcPr>
                <w:p>
                  <w:pPr>
                    <w:pStyle w:val="49"/>
                    <w:adjustRightInd w:val="0"/>
                    <w:snapToGrid w:val="0"/>
                    <w:jc w:val="center"/>
                    <w:rPr>
                      <w:rFonts w:ascii="Times New Roman" w:cs="Times New Roman"/>
                      <w:sz w:val="21"/>
                      <w:szCs w:val="21"/>
                    </w:rPr>
                  </w:pPr>
                  <w:r>
                    <w:rPr>
                      <w:rFonts w:hint="eastAsia" w:ascii="Times New Roman" w:hAnsi="Times New Roman" w:eastAsia="宋体"/>
                      <w:position w:val="2"/>
                      <w:lang w:val="en-US" w:eastAsia="zh-CN"/>
                    </w:rPr>
                    <w:t>1193.28</w:t>
                  </w:r>
                  <w:r>
                    <w:rPr>
                      <w:rFonts w:ascii="Times New Roman" w:cs="Times New Roman"/>
                      <w:position w:val="2"/>
                      <w:sz w:val="21"/>
                      <w:szCs w:val="21"/>
                    </w:rPr>
                    <w:t>tCO</w:t>
                  </w:r>
                  <w:r>
                    <w:rPr>
                      <w:rFonts w:ascii="Times New Roman" w:cs="Times New Roman"/>
                      <w:sz w:val="21"/>
                      <w:szCs w:val="21"/>
                    </w:rPr>
                    <w:t>2e</w:t>
                  </w:r>
                </w:p>
              </w:tc>
            </w:tr>
          </w:tbl>
          <w:p>
            <w:pPr>
              <w:pStyle w:val="40"/>
              <w:adjustRightInd w:val="0"/>
              <w:snapToGrid w:val="0"/>
              <w:spacing w:before="120" w:beforeLines="50" w:line="360" w:lineRule="auto"/>
              <w:ind w:firstLine="480"/>
              <w:rPr>
                <w:rFonts w:hint="eastAsia" w:eastAsia="宋体"/>
                <w:position w:val="2"/>
              </w:rPr>
            </w:pPr>
            <w:r>
              <w:rPr>
                <w:rFonts w:hint="eastAsia" w:eastAsia="宋体"/>
                <w:position w:val="2"/>
              </w:rPr>
              <w:t>②碳排放评价</w:t>
            </w:r>
          </w:p>
          <w:p>
            <w:pPr>
              <w:pStyle w:val="40"/>
              <w:adjustRightInd w:val="0"/>
              <w:snapToGrid w:val="0"/>
              <w:spacing w:line="360" w:lineRule="auto"/>
              <w:ind w:firstLine="480"/>
              <w:jc w:val="both"/>
              <w:rPr>
                <w:rFonts w:eastAsia="宋体"/>
                <w:position w:val="2"/>
              </w:rPr>
            </w:pPr>
            <w:r>
              <w:rPr>
                <w:rFonts w:eastAsia="宋体"/>
                <w:position w:val="2"/>
              </w:rPr>
              <w:t>综上可知，本项目碳排放量为</w:t>
            </w:r>
            <w:r>
              <w:rPr>
                <w:rFonts w:hint="eastAsia" w:ascii="Times New Roman" w:hAnsi="Times New Roman" w:eastAsia="宋体"/>
                <w:position w:val="2"/>
                <w:lang w:val="en-US" w:eastAsia="zh-CN"/>
              </w:rPr>
              <w:t>1193.28</w:t>
            </w:r>
            <w:r>
              <w:rPr>
                <w:rFonts w:eastAsia="宋体"/>
                <w:position w:val="2"/>
              </w:rPr>
              <w:t>tCO</w:t>
            </w:r>
            <w:r>
              <w:rPr>
                <w:rFonts w:eastAsia="宋体"/>
                <w:position w:val="2"/>
                <w:vertAlign w:val="subscript"/>
              </w:rPr>
              <w:t>2e</w:t>
            </w:r>
            <w:r>
              <w:rPr>
                <w:rFonts w:eastAsia="宋体"/>
                <w:position w:val="2"/>
              </w:rPr>
              <w:t>，单位用地碳排放强度</w:t>
            </w:r>
            <w:r>
              <w:rPr>
                <w:rFonts w:hint="eastAsia" w:eastAsia="宋体"/>
                <w:position w:val="2"/>
              </w:rPr>
              <w:t>0.</w:t>
            </w:r>
            <w:r>
              <w:rPr>
                <w:rFonts w:hint="eastAsia" w:eastAsia="宋体"/>
                <w:position w:val="2"/>
                <w:lang w:val="en-US" w:eastAsia="zh-CN"/>
              </w:rPr>
              <w:t>628</w:t>
            </w:r>
            <w:r>
              <w:rPr>
                <w:rFonts w:eastAsia="宋体"/>
                <w:position w:val="2"/>
              </w:rPr>
              <w:t>tCO</w:t>
            </w:r>
            <w:r>
              <w:rPr>
                <w:rFonts w:eastAsia="宋体"/>
                <w:vertAlign w:val="subscript"/>
              </w:rPr>
              <w:t>2e</w:t>
            </w:r>
            <w:r>
              <w:rPr>
                <w:rFonts w:eastAsia="宋体"/>
                <w:position w:val="2"/>
              </w:rPr>
              <w:t>/m</w:t>
            </w:r>
            <w:r>
              <w:rPr>
                <w:rFonts w:eastAsia="宋体"/>
                <w:position w:val="2"/>
                <w:vertAlign w:val="superscript"/>
              </w:rPr>
              <w:t>2</w:t>
            </w:r>
            <w:r>
              <w:rPr>
                <w:rFonts w:eastAsia="宋体"/>
                <w:position w:val="2"/>
              </w:rPr>
              <w:t>，单位工业总产值碳排放强度为</w:t>
            </w:r>
            <w:r>
              <w:rPr>
                <w:rFonts w:hint="eastAsia" w:eastAsia="宋体"/>
                <w:position w:val="2"/>
              </w:rPr>
              <w:t>0.9944</w:t>
            </w:r>
            <w:r>
              <w:rPr>
                <w:rFonts w:eastAsia="宋体"/>
                <w:position w:val="2"/>
              </w:rPr>
              <w:t>tCO</w:t>
            </w:r>
            <w:r>
              <w:rPr>
                <w:rFonts w:eastAsia="宋体"/>
                <w:vertAlign w:val="subscript"/>
              </w:rPr>
              <w:t>2e</w:t>
            </w:r>
            <w:r>
              <w:rPr>
                <w:rFonts w:eastAsia="宋体"/>
                <w:position w:val="2"/>
              </w:rPr>
              <w:t>/万元。</w:t>
            </w:r>
          </w:p>
          <w:p>
            <w:pPr>
              <w:pStyle w:val="40"/>
              <w:adjustRightInd w:val="0"/>
              <w:snapToGrid w:val="0"/>
              <w:spacing w:line="360" w:lineRule="auto"/>
              <w:ind w:firstLine="482"/>
              <w:rPr>
                <w:rFonts w:eastAsia="宋体"/>
                <w:b/>
                <w:bCs/>
              </w:rPr>
            </w:pPr>
            <w:r>
              <w:rPr>
                <w:rFonts w:hint="eastAsia" w:eastAsia="宋体"/>
                <w:b/>
                <w:bCs/>
              </w:rPr>
              <w:t>（4）</w:t>
            </w:r>
            <w:r>
              <w:rPr>
                <w:rFonts w:eastAsia="宋体"/>
                <w:b/>
                <w:bCs/>
              </w:rPr>
              <w:t>碳减排潜力分析及建议</w:t>
            </w:r>
          </w:p>
          <w:p>
            <w:pPr>
              <w:pStyle w:val="40"/>
              <w:adjustRightInd w:val="0"/>
              <w:snapToGrid w:val="0"/>
              <w:spacing w:line="360" w:lineRule="auto"/>
              <w:ind w:firstLine="480"/>
              <w:jc w:val="both"/>
              <w:rPr>
                <w:rFonts w:eastAsia="宋体"/>
              </w:rPr>
            </w:pPr>
            <w:r>
              <w:rPr>
                <w:rFonts w:eastAsia="宋体"/>
              </w:rPr>
              <w:t>根据上述分析，本项目的碳排放主要为净电力输入，因此建设单位碳减排潜力主要为降低净电力输入，具体可从以下方面降低碳排放。</w:t>
            </w:r>
          </w:p>
          <w:p>
            <w:pPr>
              <w:pStyle w:val="40"/>
              <w:adjustRightInd w:val="0"/>
              <w:snapToGrid w:val="0"/>
              <w:spacing w:line="360" w:lineRule="auto"/>
              <w:ind w:firstLine="480"/>
              <w:jc w:val="both"/>
              <w:rPr>
                <w:rFonts w:eastAsia="宋体"/>
              </w:rPr>
            </w:pPr>
            <w:r>
              <w:rPr>
                <w:rFonts w:eastAsia="宋体"/>
              </w:rPr>
              <w:t>（1）加强对设备的维护运行，避免设备老化等引起的耗电量增加；</w:t>
            </w:r>
          </w:p>
          <w:p>
            <w:pPr>
              <w:pStyle w:val="40"/>
              <w:adjustRightInd w:val="0"/>
              <w:snapToGrid w:val="0"/>
              <w:spacing w:line="360" w:lineRule="auto"/>
              <w:ind w:firstLine="480"/>
              <w:jc w:val="both"/>
              <w:rPr>
                <w:rFonts w:eastAsia="宋体"/>
              </w:rPr>
            </w:pPr>
            <w:r>
              <w:rPr>
                <w:rFonts w:eastAsia="宋体"/>
              </w:rPr>
              <w:t>（2）建设单位经济允许条件下，建议更换生产效率更高</w:t>
            </w:r>
            <w:r>
              <w:rPr>
                <w:rFonts w:hint="eastAsia" w:eastAsia="宋体"/>
              </w:rPr>
              <w:t>更节能</w:t>
            </w:r>
            <w:r>
              <w:rPr>
                <w:rFonts w:eastAsia="宋体"/>
              </w:rPr>
              <w:t>的设备；</w:t>
            </w:r>
          </w:p>
          <w:p>
            <w:pPr>
              <w:pStyle w:val="40"/>
              <w:adjustRightInd w:val="0"/>
              <w:snapToGrid w:val="0"/>
              <w:spacing w:line="360" w:lineRule="auto"/>
              <w:ind w:firstLine="480"/>
              <w:jc w:val="both"/>
              <w:rPr>
                <w:rFonts w:eastAsia="宋体"/>
              </w:rPr>
            </w:pPr>
            <w:r>
              <w:rPr>
                <w:rFonts w:eastAsia="宋体"/>
              </w:rPr>
              <w:t>（3）建设单位可利用光伏等设备，利用太阳能等自产部分电力从而降低厂区内净电力输入。</w:t>
            </w:r>
          </w:p>
          <w:p>
            <w:pPr>
              <w:pStyle w:val="40"/>
              <w:adjustRightInd w:val="0"/>
              <w:snapToGrid w:val="0"/>
              <w:spacing w:line="360" w:lineRule="auto"/>
              <w:ind w:firstLine="0" w:firstLineChars="0"/>
              <w:jc w:val="both"/>
              <w:rPr>
                <w:rFonts w:hint="eastAsia" w:eastAsia="宋体"/>
                <w:color w:val="0000FF"/>
              </w:rPr>
            </w:pPr>
          </w:p>
          <w:p>
            <w:pPr>
              <w:pStyle w:val="40"/>
              <w:adjustRightInd w:val="0"/>
              <w:snapToGrid w:val="0"/>
              <w:spacing w:line="360" w:lineRule="auto"/>
              <w:ind w:firstLine="0" w:firstLineChars="0"/>
              <w:jc w:val="both"/>
              <w:rPr>
                <w:rFonts w:hint="eastAsia" w:eastAsia="宋体"/>
                <w:color w:val="0000FF"/>
              </w:rPr>
            </w:pPr>
          </w:p>
          <w:p>
            <w:pPr>
              <w:pStyle w:val="40"/>
              <w:adjustRightInd w:val="0"/>
              <w:snapToGrid w:val="0"/>
              <w:spacing w:line="360" w:lineRule="auto"/>
              <w:ind w:firstLine="0" w:firstLineChars="0"/>
              <w:jc w:val="both"/>
              <w:rPr>
                <w:rFonts w:hint="eastAsia" w:eastAsia="宋体"/>
                <w:color w:val="0000FF"/>
              </w:rPr>
            </w:pPr>
          </w:p>
          <w:p>
            <w:pPr>
              <w:pStyle w:val="40"/>
              <w:adjustRightInd w:val="0"/>
              <w:snapToGrid w:val="0"/>
              <w:spacing w:line="360" w:lineRule="auto"/>
              <w:ind w:firstLine="0" w:firstLineChars="0"/>
              <w:jc w:val="both"/>
              <w:rPr>
                <w:rFonts w:hint="eastAsia" w:eastAsia="宋体"/>
                <w:color w:val="0000FF"/>
              </w:rPr>
            </w:pPr>
          </w:p>
          <w:p>
            <w:pPr>
              <w:pStyle w:val="40"/>
              <w:adjustRightInd w:val="0"/>
              <w:snapToGrid w:val="0"/>
              <w:spacing w:line="360" w:lineRule="auto"/>
              <w:ind w:firstLine="0" w:firstLineChars="0"/>
              <w:jc w:val="both"/>
              <w:rPr>
                <w:rFonts w:hint="eastAsia" w:eastAsia="宋体"/>
                <w:color w:val="0000FF"/>
              </w:rPr>
            </w:pPr>
          </w:p>
          <w:p>
            <w:pPr>
              <w:pStyle w:val="40"/>
              <w:adjustRightInd w:val="0"/>
              <w:snapToGrid w:val="0"/>
              <w:spacing w:line="360" w:lineRule="auto"/>
              <w:ind w:firstLine="0" w:firstLineChars="0"/>
              <w:jc w:val="both"/>
              <w:rPr>
                <w:rFonts w:hint="eastAsia" w:eastAsia="宋体"/>
                <w:color w:val="0000FF"/>
              </w:rPr>
            </w:pPr>
          </w:p>
          <w:p>
            <w:pPr>
              <w:pStyle w:val="40"/>
              <w:adjustRightInd w:val="0"/>
              <w:snapToGrid w:val="0"/>
              <w:spacing w:line="360" w:lineRule="auto"/>
              <w:ind w:firstLine="0" w:firstLineChars="0"/>
              <w:jc w:val="both"/>
              <w:rPr>
                <w:rFonts w:hint="eastAsia" w:eastAsia="宋体"/>
                <w:color w:val="0000FF"/>
              </w:rPr>
            </w:pPr>
          </w:p>
          <w:p>
            <w:pPr>
              <w:pStyle w:val="40"/>
              <w:adjustRightInd w:val="0"/>
              <w:snapToGrid w:val="0"/>
              <w:spacing w:line="360" w:lineRule="auto"/>
              <w:ind w:firstLine="0" w:firstLineChars="0"/>
              <w:jc w:val="both"/>
              <w:rPr>
                <w:rFonts w:hint="eastAsia" w:eastAsia="宋体"/>
                <w:color w:val="0000FF"/>
              </w:rPr>
            </w:pPr>
          </w:p>
          <w:p>
            <w:pPr>
              <w:pStyle w:val="40"/>
              <w:adjustRightInd w:val="0"/>
              <w:snapToGrid w:val="0"/>
              <w:spacing w:line="360" w:lineRule="auto"/>
              <w:ind w:firstLine="0" w:firstLineChars="0"/>
              <w:jc w:val="both"/>
              <w:rPr>
                <w:rFonts w:hint="eastAsia" w:eastAsia="宋体"/>
                <w:color w:val="0000FF"/>
              </w:rPr>
            </w:pPr>
          </w:p>
        </w:tc>
      </w:tr>
    </w:tbl>
    <w:p>
      <w:pPr>
        <w:adjustRightInd w:val="0"/>
        <w:snapToGrid w:val="0"/>
        <w:spacing w:line="360" w:lineRule="auto"/>
        <w:rPr>
          <w:rFonts w:ascii="宋体" w:cs="宋体"/>
          <w:b/>
          <w:color w:val="0000FF"/>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0"/>
        <w:jc w:val="center"/>
        <w:outlineLvl w:val="0"/>
        <w:rPr>
          <w:rFonts w:hint="eastAsia" w:cs="宋体"/>
          <w:b/>
          <w:bCs/>
          <w:snapToGrid w:val="0"/>
          <w:sz w:val="30"/>
          <w:szCs w:val="30"/>
        </w:rPr>
      </w:pPr>
      <w:bookmarkStart w:id="15" w:name="_Toc10490"/>
      <w:r>
        <w:rPr>
          <w:rFonts w:hint="eastAsia" w:cs="宋体"/>
          <w:b/>
          <w:bCs/>
          <w:snapToGrid w:val="0"/>
          <w:sz w:val="30"/>
          <w:szCs w:val="30"/>
        </w:rPr>
        <w:t>五、</w:t>
      </w:r>
      <w:bookmarkStart w:id="16" w:name="_Hlk54167917"/>
      <w:r>
        <w:rPr>
          <w:rFonts w:hint="eastAsia" w:cs="宋体"/>
          <w:b/>
          <w:bCs/>
          <w:snapToGrid w:val="0"/>
          <w:sz w:val="30"/>
          <w:szCs w:val="30"/>
        </w:rPr>
        <w:t>环境保护措施监督检查清单</w:t>
      </w:r>
      <w:bookmarkEnd w:id="15"/>
      <w:bookmarkEnd w:id="16"/>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275"/>
        <w:gridCol w:w="1020"/>
        <w:gridCol w:w="2460"/>
        <w:gridCol w:w="27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tcBorders>
              <w:tl2br w:val="single" w:color="auto" w:sz="4" w:space="0"/>
            </w:tcBorders>
            <w:noWrap w:val="0"/>
            <w:vAlign w:val="center"/>
          </w:tcPr>
          <w:p>
            <w:pPr>
              <w:adjustRightInd w:val="0"/>
              <w:snapToGrid w:val="0"/>
              <w:spacing w:line="360" w:lineRule="auto"/>
              <w:jc w:val="center"/>
              <w:rPr>
                <w:b/>
                <w:bCs/>
                <w:szCs w:val="21"/>
              </w:rPr>
            </w:pPr>
            <w:r>
              <w:rPr>
                <w:b/>
                <w:bCs/>
                <w:szCs w:val="21"/>
              </w:rPr>
              <w:t>内容</w:t>
            </w:r>
          </w:p>
          <w:p>
            <w:pPr>
              <w:adjustRightInd w:val="0"/>
              <w:snapToGrid w:val="0"/>
              <w:spacing w:line="360" w:lineRule="auto"/>
              <w:rPr>
                <w:b/>
                <w:bCs/>
                <w:szCs w:val="21"/>
              </w:rPr>
            </w:pPr>
            <w:r>
              <w:rPr>
                <w:b/>
                <w:bCs/>
                <w:szCs w:val="21"/>
              </w:rPr>
              <w:t>要素</w:t>
            </w:r>
          </w:p>
        </w:tc>
        <w:tc>
          <w:tcPr>
            <w:tcW w:w="1275" w:type="dxa"/>
            <w:noWrap w:val="0"/>
            <w:vAlign w:val="center"/>
          </w:tcPr>
          <w:p>
            <w:pPr>
              <w:adjustRightInd w:val="0"/>
              <w:snapToGrid w:val="0"/>
              <w:jc w:val="center"/>
              <w:rPr>
                <w:b/>
                <w:bCs/>
                <w:szCs w:val="21"/>
              </w:rPr>
            </w:pPr>
            <w:r>
              <w:rPr>
                <w:b/>
                <w:bCs/>
                <w:szCs w:val="21"/>
              </w:rPr>
              <w:t>排放口(编号、名称)/污染源</w:t>
            </w:r>
          </w:p>
        </w:tc>
        <w:tc>
          <w:tcPr>
            <w:tcW w:w="1020" w:type="dxa"/>
            <w:noWrap w:val="0"/>
            <w:vAlign w:val="center"/>
          </w:tcPr>
          <w:p>
            <w:pPr>
              <w:adjustRightInd w:val="0"/>
              <w:snapToGrid w:val="0"/>
              <w:jc w:val="center"/>
              <w:rPr>
                <w:b/>
                <w:bCs/>
                <w:szCs w:val="21"/>
              </w:rPr>
            </w:pPr>
            <w:r>
              <w:rPr>
                <w:b/>
                <w:bCs/>
                <w:szCs w:val="21"/>
              </w:rPr>
              <w:t>污染物项目</w:t>
            </w:r>
          </w:p>
        </w:tc>
        <w:tc>
          <w:tcPr>
            <w:tcW w:w="2460" w:type="dxa"/>
            <w:noWrap w:val="0"/>
            <w:vAlign w:val="center"/>
          </w:tcPr>
          <w:p>
            <w:pPr>
              <w:adjustRightInd w:val="0"/>
              <w:snapToGrid w:val="0"/>
              <w:jc w:val="center"/>
              <w:rPr>
                <w:b/>
                <w:bCs/>
                <w:szCs w:val="21"/>
              </w:rPr>
            </w:pPr>
            <w:r>
              <w:rPr>
                <w:b/>
                <w:bCs/>
                <w:szCs w:val="21"/>
              </w:rPr>
              <w:t>环境保护措施</w:t>
            </w:r>
          </w:p>
        </w:tc>
        <w:tc>
          <w:tcPr>
            <w:tcW w:w="2716" w:type="dxa"/>
            <w:noWrap w:val="0"/>
            <w:vAlign w:val="center"/>
          </w:tcPr>
          <w:p>
            <w:pPr>
              <w:adjustRightInd w:val="0"/>
              <w:snapToGrid w:val="0"/>
              <w:jc w:val="center"/>
              <w:rPr>
                <w:b/>
                <w:bCs/>
                <w:szCs w:val="21"/>
              </w:rPr>
            </w:pPr>
            <w:r>
              <w:rPr>
                <w:b/>
                <w:bCs/>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329" w:type="dxa"/>
            <w:vMerge w:val="restart"/>
            <w:noWrap w:val="0"/>
            <w:vAlign w:val="center"/>
          </w:tcPr>
          <w:p>
            <w:pPr>
              <w:adjustRightInd w:val="0"/>
              <w:snapToGrid w:val="0"/>
              <w:jc w:val="center"/>
              <w:rPr>
                <w:szCs w:val="21"/>
              </w:rPr>
            </w:pPr>
            <w:r>
              <w:rPr>
                <w:szCs w:val="21"/>
              </w:rPr>
              <w:t>大气环境</w:t>
            </w:r>
          </w:p>
        </w:tc>
        <w:tc>
          <w:tcPr>
            <w:tcW w:w="1275" w:type="dxa"/>
            <w:vMerge w:val="restart"/>
            <w:noWrap w:val="0"/>
            <w:vAlign w:val="center"/>
          </w:tcPr>
          <w:p>
            <w:pPr>
              <w:adjustRightInd w:val="0"/>
              <w:snapToGrid w:val="0"/>
              <w:jc w:val="center"/>
              <w:rPr>
                <w:rFonts w:hint="default" w:eastAsia="宋体"/>
                <w:szCs w:val="21"/>
                <w:lang w:val="en-US" w:eastAsia="zh-CN"/>
              </w:rPr>
            </w:pPr>
            <w:r>
              <w:rPr>
                <w:rFonts w:hint="eastAsia"/>
                <w:szCs w:val="21"/>
                <w:lang w:val="en-US" w:eastAsia="zh-CN"/>
              </w:rPr>
              <w:t>/</w:t>
            </w:r>
          </w:p>
        </w:tc>
        <w:tc>
          <w:tcPr>
            <w:tcW w:w="1020" w:type="dxa"/>
            <w:noWrap w:val="0"/>
            <w:vAlign w:val="center"/>
          </w:tcPr>
          <w:p>
            <w:pPr>
              <w:adjustRightInd w:val="0"/>
              <w:snapToGrid w:val="0"/>
              <w:jc w:val="center"/>
              <w:rPr>
                <w:rFonts w:hint="eastAsia" w:eastAsia="宋体"/>
                <w:szCs w:val="21"/>
                <w:lang w:eastAsia="zh-CN"/>
              </w:rPr>
            </w:pPr>
            <w:r>
              <w:rPr>
                <w:rFonts w:hint="eastAsia"/>
                <w:szCs w:val="21"/>
                <w:lang w:val="en-US" w:eastAsia="zh-CN"/>
              </w:rPr>
              <w:t>/</w:t>
            </w:r>
          </w:p>
        </w:tc>
        <w:tc>
          <w:tcPr>
            <w:tcW w:w="2460" w:type="dxa"/>
            <w:vMerge w:val="restart"/>
            <w:noWrap w:val="0"/>
            <w:vAlign w:val="center"/>
          </w:tcPr>
          <w:p>
            <w:pPr>
              <w:adjustRightInd w:val="0"/>
              <w:snapToGrid w:val="0"/>
              <w:jc w:val="center"/>
              <w:rPr>
                <w:rFonts w:hint="eastAsia"/>
                <w:szCs w:val="21"/>
              </w:rPr>
            </w:pPr>
            <w:r>
              <w:rPr>
                <w:rFonts w:hint="eastAsia"/>
                <w:szCs w:val="21"/>
                <w:lang w:val="en-US" w:eastAsia="zh-CN"/>
              </w:rPr>
              <w:t>/</w:t>
            </w:r>
          </w:p>
        </w:tc>
        <w:tc>
          <w:tcPr>
            <w:tcW w:w="2716" w:type="dxa"/>
            <w:vMerge w:val="restart"/>
            <w:noWrap w:val="0"/>
            <w:vAlign w:val="center"/>
          </w:tcPr>
          <w:p>
            <w:pPr>
              <w:adjustRightInd w:val="0"/>
              <w:snapToGrid w:val="0"/>
              <w:jc w:val="center"/>
              <w:rPr>
                <w:rFonts w:hint="eastAsia"/>
                <w:szCs w:val="21"/>
              </w:rPr>
            </w:pPr>
            <w:r>
              <w:rPr>
                <w:rFonts w:hint="eastAsia"/>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vMerge w:val="restart"/>
            <w:noWrap w:val="0"/>
            <w:vAlign w:val="center"/>
          </w:tcPr>
          <w:p>
            <w:pPr>
              <w:adjustRightInd w:val="0"/>
              <w:snapToGrid w:val="0"/>
              <w:jc w:val="center"/>
              <w:rPr>
                <w:szCs w:val="21"/>
              </w:rPr>
            </w:pPr>
            <w:r>
              <w:rPr>
                <w:szCs w:val="21"/>
              </w:rPr>
              <w:t>地表水环境</w:t>
            </w:r>
          </w:p>
        </w:tc>
        <w:tc>
          <w:tcPr>
            <w:tcW w:w="1275" w:type="dxa"/>
            <w:vMerge w:val="restart"/>
            <w:noWrap w:val="0"/>
            <w:vAlign w:val="center"/>
          </w:tcPr>
          <w:p>
            <w:pPr>
              <w:adjustRightInd w:val="0"/>
              <w:snapToGrid w:val="0"/>
              <w:jc w:val="center"/>
              <w:rPr>
                <w:rFonts w:hint="eastAsia"/>
                <w:szCs w:val="21"/>
              </w:rPr>
            </w:pPr>
            <w:r>
              <w:rPr>
                <w:rFonts w:hint="eastAsia"/>
                <w:szCs w:val="21"/>
              </w:rPr>
              <w:t>污水总排口</w:t>
            </w:r>
          </w:p>
        </w:tc>
        <w:tc>
          <w:tcPr>
            <w:tcW w:w="1020" w:type="dxa"/>
            <w:noWrap w:val="0"/>
            <w:vAlign w:val="center"/>
          </w:tcPr>
          <w:p>
            <w:pPr>
              <w:adjustRightInd w:val="0"/>
              <w:snapToGrid w:val="0"/>
              <w:jc w:val="center"/>
              <w:rPr>
                <w:szCs w:val="21"/>
              </w:rPr>
            </w:pPr>
            <w:r>
              <w:rPr>
                <w:rFonts w:hint="eastAsia"/>
                <w:szCs w:val="21"/>
              </w:rPr>
              <w:t>COD</w:t>
            </w:r>
          </w:p>
        </w:tc>
        <w:tc>
          <w:tcPr>
            <w:tcW w:w="2460" w:type="dxa"/>
            <w:vMerge w:val="restart"/>
            <w:noWrap w:val="0"/>
            <w:vAlign w:val="center"/>
          </w:tcPr>
          <w:p>
            <w:pPr>
              <w:pStyle w:val="61"/>
              <w:adjustRightInd w:val="0"/>
              <w:snapToGrid w:val="0"/>
              <w:rPr>
                <w:rFonts w:hint="eastAsia" w:eastAsia="宋体"/>
                <w:szCs w:val="21"/>
              </w:rPr>
            </w:pPr>
            <w:r>
              <w:rPr>
                <w:rFonts w:hint="eastAsia" w:eastAsia="宋体"/>
                <w:szCs w:val="21"/>
              </w:rPr>
              <w:t>/</w:t>
            </w:r>
          </w:p>
        </w:tc>
        <w:tc>
          <w:tcPr>
            <w:tcW w:w="2716" w:type="dxa"/>
            <w:vMerge w:val="restart"/>
            <w:noWrap w:val="0"/>
            <w:vAlign w:val="center"/>
          </w:tcPr>
          <w:p>
            <w:pPr>
              <w:pStyle w:val="61"/>
              <w:adjustRightInd w:val="0"/>
              <w:snapToGrid w:val="0"/>
              <w:rPr>
                <w:rFonts w:eastAsia="宋体"/>
                <w:szCs w:val="21"/>
              </w:rPr>
            </w:pPr>
            <w:r>
              <w:rPr>
                <w:rFonts w:eastAsia="宋体"/>
                <w:szCs w:val="21"/>
              </w:rPr>
              <w:t>常州金坛区第二污水处理有限公司接管限值要求和《污水排入城镇下水道水质标准》（</w:t>
            </w:r>
            <w:r>
              <w:rPr>
                <w:rFonts w:eastAsia="宋体"/>
                <w:szCs w:val="21"/>
                <w:shd w:val="clear" w:color="auto" w:fill="FFFFFF"/>
              </w:rPr>
              <w:t>GB/T31962-2015</w:t>
            </w:r>
            <w:r>
              <w:rPr>
                <w:rFonts w:eastAsia="宋体"/>
                <w:szCs w:val="21"/>
              </w:rPr>
              <w:t>）表1中B等级标准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vMerge w:val="continue"/>
            <w:noWrap w:val="0"/>
            <w:vAlign w:val="center"/>
          </w:tcPr>
          <w:p>
            <w:pPr>
              <w:adjustRightInd w:val="0"/>
              <w:snapToGrid w:val="0"/>
              <w:jc w:val="center"/>
              <w:rPr>
                <w:szCs w:val="21"/>
              </w:rPr>
            </w:pPr>
          </w:p>
        </w:tc>
        <w:tc>
          <w:tcPr>
            <w:tcW w:w="1275" w:type="dxa"/>
            <w:vMerge w:val="continue"/>
            <w:noWrap w:val="0"/>
            <w:vAlign w:val="center"/>
          </w:tcPr>
          <w:p>
            <w:pPr>
              <w:adjustRightInd w:val="0"/>
              <w:snapToGrid w:val="0"/>
              <w:jc w:val="center"/>
              <w:rPr>
                <w:szCs w:val="21"/>
              </w:rPr>
            </w:pPr>
          </w:p>
        </w:tc>
        <w:tc>
          <w:tcPr>
            <w:tcW w:w="1020" w:type="dxa"/>
            <w:noWrap w:val="0"/>
            <w:vAlign w:val="center"/>
          </w:tcPr>
          <w:p>
            <w:pPr>
              <w:adjustRightInd w:val="0"/>
              <w:snapToGrid w:val="0"/>
              <w:jc w:val="center"/>
              <w:rPr>
                <w:szCs w:val="21"/>
              </w:rPr>
            </w:pPr>
            <w:r>
              <w:rPr>
                <w:rFonts w:hint="eastAsia"/>
                <w:szCs w:val="21"/>
              </w:rPr>
              <w:t>SS</w:t>
            </w:r>
          </w:p>
        </w:tc>
        <w:tc>
          <w:tcPr>
            <w:tcW w:w="2460" w:type="dxa"/>
            <w:vMerge w:val="continue"/>
            <w:noWrap w:val="0"/>
            <w:vAlign w:val="center"/>
          </w:tcPr>
          <w:p>
            <w:pPr>
              <w:adjustRightInd w:val="0"/>
              <w:snapToGrid w:val="0"/>
              <w:jc w:val="center"/>
              <w:rPr>
                <w:szCs w:val="21"/>
              </w:rPr>
            </w:pPr>
          </w:p>
        </w:tc>
        <w:tc>
          <w:tcPr>
            <w:tcW w:w="2716" w:type="dxa"/>
            <w:vMerge w:val="continue"/>
            <w:noWrap w:val="0"/>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vMerge w:val="continue"/>
            <w:noWrap w:val="0"/>
            <w:vAlign w:val="center"/>
          </w:tcPr>
          <w:p>
            <w:pPr>
              <w:adjustRightInd w:val="0"/>
              <w:snapToGrid w:val="0"/>
              <w:jc w:val="center"/>
              <w:rPr>
                <w:szCs w:val="21"/>
              </w:rPr>
            </w:pPr>
          </w:p>
        </w:tc>
        <w:tc>
          <w:tcPr>
            <w:tcW w:w="1275" w:type="dxa"/>
            <w:vMerge w:val="continue"/>
            <w:noWrap w:val="0"/>
            <w:vAlign w:val="center"/>
          </w:tcPr>
          <w:p>
            <w:pPr>
              <w:adjustRightInd w:val="0"/>
              <w:snapToGrid w:val="0"/>
              <w:jc w:val="center"/>
              <w:rPr>
                <w:szCs w:val="21"/>
              </w:rPr>
            </w:pPr>
          </w:p>
        </w:tc>
        <w:tc>
          <w:tcPr>
            <w:tcW w:w="1020" w:type="dxa"/>
            <w:noWrap w:val="0"/>
            <w:vAlign w:val="center"/>
          </w:tcPr>
          <w:p>
            <w:pPr>
              <w:adjustRightInd w:val="0"/>
              <w:snapToGrid w:val="0"/>
              <w:jc w:val="center"/>
              <w:rPr>
                <w:rFonts w:hint="eastAsia"/>
                <w:szCs w:val="21"/>
              </w:rPr>
            </w:pPr>
            <w:r>
              <w:rPr>
                <w:rFonts w:hint="eastAsia"/>
                <w:szCs w:val="21"/>
              </w:rPr>
              <w:t>氨氮</w:t>
            </w:r>
          </w:p>
        </w:tc>
        <w:tc>
          <w:tcPr>
            <w:tcW w:w="2460" w:type="dxa"/>
            <w:vMerge w:val="continue"/>
            <w:noWrap w:val="0"/>
            <w:vAlign w:val="center"/>
          </w:tcPr>
          <w:p>
            <w:pPr>
              <w:adjustRightInd w:val="0"/>
              <w:snapToGrid w:val="0"/>
              <w:jc w:val="center"/>
              <w:rPr>
                <w:szCs w:val="21"/>
              </w:rPr>
            </w:pPr>
          </w:p>
        </w:tc>
        <w:tc>
          <w:tcPr>
            <w:tcW w:w="2716" w:type="dxa"/>
            <w:vMerge w:val="continue"/>
            <w:noWrap w:val="0"/>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vMerge w:val="continue"/>
            <w:noWrap w:val="0"/>
            <w:vAlign w:val="center"/>
          </w:tcPr>
          <w:p>
            <w:pPr>
              <w:adjustRightInd w:val="0"/>
              <w:snapToGrid w:val="0"/>
              <w:jc w:val="center"/>
              <w:rPr>
                <w:szCs w:val="21"/>
              </w:rPr>
            </w:pPr>
          </w:p>
        </w:tc>
        <w:tc>
          <w:tcPr>
            <w:tcW w:w="1275" w:type="dxa"/>
            <w:vMerge w:val="continue"/>
            <w:noWrap w:val="0"/>
            <w:vAlign w:val="center"/>
          </w:tcPr>
          <w:p>
            <w:pPr>
              <w:adjustRightInd w:val="0"/>
              <w:snapToGrid w:val="0"/>
              <w:jc w:val="center"/>
              <w:rPr>
                <w:szCs w:val="21"/>
              </w:rPr>
            </w:pPr>
          </w:p>
        </w:tc>
        <w:tc>
          <w:tcPr>
            <w:tcW w:w="1020" w:type="dxa"/>
            <w:noWrap w:val="0"/>
            <w:vAlign w:val="center"/>
          </w:tcPr>
          <w:p>
            <w:pPr>
              <w:adjustRightInd w:val="0"/>
              <w:snapToGrid w:val="0"/>
              <w:jc w:val="center"/>
              <w:rPr>
                <w:rFonts w:hint="eastAsia"/>
                <w:szCs w:val="21"/>
              </w:rPr>
            </w:pPr>
            <w:r>
              <w:rPr>
                <w:rFonts w:hint="eastAsia"/>
                <w:szCs w:val="21"/>
              </w:rPr>
              <w:t>总磷</w:t>
            </w:r>
          </w:p>
        </w:tc>
        <w:tc>
          <w:tcPr>
            <w:tcW w:w="2460" w:type="dxa"/>
            <w:vMerge w:val="continue"/>
            <w:noWrap w:val="0"/>
            <w:vAlign w:val="center"/>
          </w:tcPr>
          <w:p>
            <w:pPr>
              <w:adjustRightInd w:val="0"/>
              <w:snapToGrid w:val="0"/>
              <w:jc w:val="center"/>
              <w:rPr>
                <w:szCs w:val="21"/>
              </w:rPr>
            </w:pPr>
          </w:p>
        </w:tc>
        <w:tc>
          <w:tcPr>
            <w:tcW w:w="2716" w:type="dxa"/>
            <w:vMerge w:val="continue"/>
            <w:noWrap w:val="0"/>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vMerge w:val="continue"/>
            <w:noWrap w:val="0"/>
            <w:vAlign w:val="center"/>
          </w:tcPr>
          <w:p>
            <w:pPr>
              <w:adjustRightInd w:val="0"/>
              <w:snapToGrid w:val="0"/>
              <w:jc w:val="center"/>
              <w:rPr>
                <w:szCs w:val="21"/>
              </w:rPr>
            </w:pPr>
          </w:p>
        </w:tc>
        <w:tc>
          <w:tcPr>
            <w:tcW w:w="1275" w:type="dxa"/>
            <w:vMerge w:val="continue"/>
            <w:noWrap w:val="0"/>
            <w:vAlign w:val="center"/>
          </w:tcPr>
          <w:p>
            <w:pPr>
              <w:adjustRightInd w:val="0"/>
              <w:snapToGrid w:val="0"/>
              <w:jc w:val="center"/>
              <w:rPr>
                <w:szCs w:val="21"/>
              </w:rPr>
            </w:pPr>
          </w:p>
        </w:tc>
        <w:tc>
          <w:tcPr>
            <w:tcW w:w="1020" w:type="dxa"/>
            <w:noWrap w:val="0"/>
            <w:vAlign w:val="center"/>
          </w:tcPr>
          <w:p>
            <w:pPr>
              <w:adjustRightInd w:val="0"/>
              <w:snapToGrid w:val="0"/>
              <w:jc w:val="center"/>
              <w:rPr>
                <w:rFonts w:hint="eastAsia"/>
                <w:szCs w:val="21"/>
              </w:rPr>
            </w:pPr>
            <w:r>
              <w:rPr>
                <w:rFonts w:hint="eastAsia"/>
                <w:szCs w:val="21"/>
              </w:rPr>
              <w:t>总氮</w:t>
            </w:r>
          </w:p>
        </w:tc>
        <w:tc>
          <w:tcPr>
            <w:tcW w:w="2460" w:type="dxa"/>
            <w:vMerge w:val="continue"/>
            <w:noWrap w:val="0"/>
            <w:vAlign w:val="center"/>
          </w:tcPr>
          <w:p>
            <w:pPr>
              <w:adjustRightInd w:val="0"/>
              <w:snapToGrid w:val="0"/>
              <w:jc w:val="center"/>
              <w:rPr>
                <w:szCs w:val="21"/>
              </w:rPr>
            </w:pPr>
          </w:p>
        </w:tc>
        <w:tc>
          <w:tcPr>
            <w:tcW w:w="2716" w:type="dxa"/>
            <w:vMerge w:val="continue"/>
            <w:noWrap w:val="0"/>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noWrap w:val="0"/>
            <w:vAlign w:val="center"/>
          </w:tcPr>
          <w:p>
            <w:pPr>
              <w:adjustRightInd w:val="0"/>
              <w:snapToGrid w:val="0"/>
              <w:jc w:val="center"/>
              <w:rPr>
                <w:szCs w:val="21"/>
              </w:rPr>
            </w:pPr>
            <w:r>
              <w:rPr>
                <w:szCs w:val="21"/>
              </w:rPr>
              <w:t>声环境</w:t>
            </w:r>
          </w:p>
        </w:tc>
        <w:tc>
          <w:tcPr>
            <w:tcW w:w="1275" w:type="dxa"/>
            <w:noWrap w:val="0"/>
            <w:vAlign w:val="center"/>
          </w:tcPr>
          <w:p>
            <w:pPr>
              <w:adjustRightInd w:val="0"/>
              <w:snapToGrid w:val="0"/>
              <w:jc w:val="center"/>
              <w:rPr>
                <w:szCs w:val="21"/>
              </w:rPr>
            </w:pPr>
            <w:r>
              <w:rPr>
                <w:szCs w:val="21"/>
              </w:rPr>
              <w:t>生产车间</w:t>
            </w:r>
          </w:p>
        </w:tc>
        <w:tc>
          <w:tcPr>
            <w:tcW w:w="1020" w:type="dxa"/>
            <w:noWrap w:val="0"/>
            <w:vAlign w:val="center"/>
          </w:tcPr>
          <w:p>
            <w:pPr>
              <w:adjustRightInd w:val="0"/>
              <w:snapToGrid w:val="0"/>
              <w:jc w:val="center"/>
              <w:rPr>
                <w:szCs w:val="21"/>
              </w:rPr>
            </w:pPr>
            <w:r>
              <w:rPr>
                <w:szCs w:val="21"/>
              </w:rPr>
              <w:t>噪声</w:t>
            </w:r>
          </w:p>
        </w:tc>
        <w:tc>
          <w:tcPr>
            <w:tcW w:w="2460" w:type="dxa"/>
            <w:noWrap w:val="0"/>
            <w:vAlign w:val="center"/>
          </w:tcPr>
          <w:p>
            <w:pPr>
              <w:adjustRightInd w:val="0"/>
              <w:snapToGrid w:val="0"/>
              <w:jc w:val="center"/>
              <w:rPr>
                <w:szCs w:val="21"/>
              </w:rPr>
            </w:pPr>
            <w:r>
              <w:rPr>
                <w:szCs w:val="21"/>
              </w:rPr>
              <w:t>厂墙隔声、距离衰减</w:t>
            </w:r>
          </w:p>
        </w:tc>
        <w:tc>
          <w:tcPr>
            <w:tcW w:w="2716" w:type="dxa"/>
            <w:noWrap w:val="0"/>
            <w:vAlign w:val="center"/>
          </w:tcPr>
          <w:p>
            <w:pPr>
              <w:adjustRightInd w:val="0"/>
              <w:snapToGrid w:val="0"/>
              <w:jc w:val="center"/>
              <w:rPr>
                <w:rFonts w:hint="eastAsia"/>
                <w:szCs w:val="21"/>
              </w:rPr>
            </w:pPr>
            <w:r>
              <w:rPr>
                <w:szCs w:val="21"/>
              </w:rPr>
              <w:t>《工业企业厂界环境噪声排放标准》（GB12348-2008）</w:t>
            </w:r>
            <w:r>
              <w:rPr>
                <w:rFonts w:hint="eastAsia"/>
                <w:szCs w:val="21"/>
              </w:rPr>
              <w:t>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1329" w:type="dxa"/>
            <w:noWrap w:val="0"/>
            <w:vAlign w:val="center"/>
          </w:tcPr>
          <w:p>
            <w:pPr>
              <w:pStyle w:val="61"/>
              <w:adjustRightInd w:val="0"/>
              <w:snapToGrid w:val="0"/>
              <w:rPr>
                <w:rFonts w:eastAsia="宋体"/>
                <w:szCs w:val="21"/>
              </w:rPr>
            </w:pPr>
            <w:r>
              <w:rPr>
                <w:rFonts w:eastAsia="宋体"/>
                <w:szCs w:val="21"/>
              </w:rPr>
              <w:t>固体废物</w:t>
            </w:r>
          </w:p>
        </w:tc>
        <w:tc>
          <w:tcPr>
            <w:tcW w:w="7471" w:type="dxa"/>
            <w:gridSpan w:val="4"/>
            <w:noWrap w:val="0"/>
            <w:vAlign w:val="center"/>
          </w:tcPr>
          <w:p>
            <w:pPr>
              <w:pStyle w:val="5"/>
              <w:ind w:firstLine="42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本项目产生的一般工业固体废物主要为废料、不合格品、废包装材料，废包装材料收集后外售物资公司综合利用，废料、不合格品委托固废处置单位处置；产生的危险废物主要是废擦拭布以及废液，统一收集后委托有资质单位处置；生活垃圾由环卫部门清运。</w:t>
            </w:r>
          </w:p>
          <w:p>
            <w:pPr>
              <w:pStyle w:val="5"/>
              <w:ind w:firstLine="420"/>
              <w:rPr>
                <w:rFonts w:hint="eastAsia"/>
              </w:rPr>
            </w:pPr>
            <w:r>
              <w:rPr>
                <w:rFonts w:hint="eastAsia" w:ascii="Times New Roman" w:hAnsi="Times New Roman" w:eastAsia="宋体" w:cs="Times New Roman"/>
                <w:kern w:val="2"/>
                <w:sz w:val="21"/>
                <w:szCs w:val="21"/>
                <w:lang w:val="en-US" w:eastAsia="zh-CN" w:bidi="ar-SA"/>
              </w:rPr>
              <w:t>项目设置一座危险废物仓库（10m</w:t>
            </w:r>
            <w:r>
              <w:rPr>
                <w:rFonts w:hint="eastAsia" w:ascii="Times New Roman" w:hAnsi="Times New Roman" w:eastAsia="宋体" w:cs="Times New Roman"/>
                <w:kern w:val="2"/>
                <w:sz w:val="21"/>
                <w:szCs w:val="21"/>
                <w:vertAlign w:val="superscript"/>
                <w:lang w:val="en-US" w:eastAsia="zh-CN" w:bidi="ar-SA"/>
              </w:rPr>
              <w:t>2</w:t>
            </w:r>
            <w:r>
              <w:rPr>
                <w:rFonts w:hint="eastAsia" w:ascii="Times New Roman" w:hAnsi="Times New Roman" w:eastAsia="宋体" w:cs="Times New Roman"/>
                <w:kern w:val="2"/>
                <w:sz w:val="21"/>
                <w:szCs w:val="21"/>
                <w:lang w:val="en-US" w:eastAsia="zh-CN" w:bidi="ar-SA"/>
              </w:rPr>
              <w:t>），一座一般固体废物仓库（40m</w:t>
            </w:r>
            <w:r>
              <w:rPr>
                <w:rFonts w:hint="eastAsia" w:ascii="Times New Roman" w:hAnsi="Times New Roman" w:eastAsia="宋体" w:cs="Times New Roman"/>
                <w:kern w:val="2"/>
                <w:sz w:val="21"/>
                <w:szCs w:val="21"/>
                <w:vertAlign w:val="superscript"/>
                <w:lang w:val="en-US" w:eastAsia="zh-CN" w:bidi="ar-SA"/>
              </w:rPr>
              <w:t>2</w:t>
            </w:r>
            <w:r>
              <w:rPr>
                <w:rFonts w:hint="eastAsia" w:ascii="Times New Roman" w:hAnsi="Times New Roman" w:eastAsia="宋体" w:cs="Times New Roman"/>
                <w:kern w:val="2"/>
                <w:sz w:val="21"/>
                <w:szCs w:val="21"/>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329" w:type="dxa"/>
            <w:noWrap w:val="0"/>
            <w:vAlign w:val="center"/>
          </w:tcPr>
          <w:p>
            <w:pPr>
              <w:adjustRightInd w:val="0"/>
              <w:snapToGrid w:val="0"/>
              <w:jc w:val="center"/>
              <w:rPr>
                <w:szCs w:val="21"/>
              </w:rPr>
            </w:pPr>
            <w:r>
              <w:rPr>
                <w:szCs w:val="21"/>
              </w:rPr>
              <w:t>土壤及地下水污染防治措施</w:t>
            </w:r>
          </w:p>
        </w:tc>
        <w:tc>
          <w:tcPr>
            <w:tcW w:w="7471" w:type="dxa"/>
            <w:gridSpan w:val="4"/>
            <w:noWrap w:val="0"/>
            <w:vAlign w:val="center"/>
          </w:tcPr>
          <w:p>
            <w:pPr>
              <w:pStyle w:val="61"/>
              <w:adjustRightInd w:val="0"/>
              <w:snapToGrid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1、源头控制原料的跑冒滴漏、雨水的浸淋、溢流等</w:t>
            </w:r>
          </w:p>
          <w:p>
            <w:pPr>
              <w:pStyle w:val="61"/>
              <w:adjustRightInd w:val="0"/>
              <w:snapToGrid w:val="0"/>
              <w:rPr>
                <w:rFonts w:hint="eastAsia" w:eastAsia="宋体"/>
                <w:szCs w:val="21"/>
              </w:rPr>
            </w:pPr>
            <w:r>
              <w:rPr>
                <w:rFonts w:hint="eastAsia" w:ascii="Times New Roman" w:hAnsi="Times New Roman" w:eastAsia="宋体" w:cs="Times New Roman"/>
                <w:kern w:val="2"/>
                <w:sz w:val="21"/>
                <w:szCs w:val="21"/>
                <w:lang w:val="en-US" w:eastAsia="zh-CN" w:bidi="ar-SA"/>
              </w:rPr>
              <w:t>2、分区防渗，对危险废物仓库等区域实施重点防渗措施，厂内其他区域进行简单防渗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329" w:type="dxa"/>
            <w:noWrap w:val="0"/>
            <w:vAlign w:val="center"/>
          </w:tcPr>
          <w:p>
            <w:pPr>
              <w:adjustRightInd w:val="0"/>
              <w:snapToGrid w:val="0"/>
              <w:jc w:val="center"/>
              <w:rPr>
                <w:szCs w:val="21"/>
              </w:rPr>
            </w:pPr>
            <w:r>
              <w:rPr>
                <w:szCs w:val="21"/>
              </w:rPr>
              <w:t>生态保护措施</w:t>
            </w:r>
          </w:p>
        </w:tc>
        <w:tc>
          <w:tcPr>
            <w:tcW w:w="7471" w:type="dxa"/>
            <w:gridSpan w:val="4"/>
            <w:noWrap w:val="0"/>
            <w:vAlign w:val="center"/>
          </w:tcPr>
          <w:p>
            <w:pPr>
              <w:pStyle w:val="61"/>
              <w:adjustRightInd w:val="0"/>
              <w:snapToGrid w:val="0"/>
              <w:rPr>
                <w:rFonts w:eastAsia="宋体"/>
                <w:szCs w:val="21"/>
              </w:rPr>
            </w:pPr>
            <w:r>
              <w:rPr>
                <w:rFonts w:eastAsia="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329" w:type="dxa"/>
            <w:noWrap w:val="0"/>
            <w:vAlign w:val="center"/>
          </w:tcPr>
          <w:p>
            <w:pPr>
              <w:adjustRightInd w:val="0"/>
              <w:snapToGrid w:val="0"/>
              <w:jc w:val="center"/>
              <w:rPr>
                <w:szCs w:val="21"/>
              </w:rPr>
            </w:pPr>
            <w:r>
              <w:rPr>
                <w:szCs w:val="21"/>
              </w:rPr>
              <w:t>环境风险</w:t>
            </w:r>
          </w:p>
          <w:p>
            <w:pPr>
              <w:adjustRightInd w:val="0"/>
              <w:snapToGrid w:val="0"/>
              <w:jc w:val="center"/>
              <w:rPr>
                <w:szCs w:val="21"/>
              </w:rPr>
            </w:pPr>
            <w:r>
              <w:rPr>
                <w:szCs w:val="21"/>
              </w:rPr>
              <w:t>防范措施</w:t>
            </w:r>
          </w:p>
        </w:tc>
        <w:tc>
          <w:tcPr>
            <w:tcW w:w="7471" w:type="dxa"/>
            <w:gridSpan w:val="4"/>
            <w:noWrap w:val="0"/>
            <w:vAlign w:val="center"/>
          </w:tcPr>
          <w:p>
            <w:pPr>
              <w:snapToGrid w:val="0"/>
              <w:jc w:val="center"/>
              <w:rPr>
                <w:rFonts w:hint="eastAsia"/>
                <w:szCs w:val="21"/>
              </w:rPr>
            </w:pPr>
            <w:r>
              <w:rPr>
                <w:rFonts w:hint="eastAsia"/>
                <w:szCs w:val="21"/>
              </w:rPr>
              <w:t>1、</w:t>
            </w:r>
            <w:r>
              <w:rPr>
                <w:szCs w:val="21"/>
              </w:rPr>
              <w:t>厂区分区防渗</w:t>
            </w:r>
            <w:r>
              <w:rPr>
                <w:rFonts w:hint="eastAsia"/>
                <w:szCs w:val="21"/>
              </w:rPr>
              <w:t>；</w:t>
            </w:r>
          </w:p>
          <w:p>
            <w:pPr>
              <w:pStyle w:val="5"/>
              <w:snapToGrid w:val="0"/>
              <w:ind w:firstLine="0" w:firstLineChars="0"/>
              <w:jc w:val="center"/>
              <w:rPr>
                <w:rFonts w:hint="eastAsia"/>
                <w:szCs w:val="21"/>
              </w:rPr>
            </w:pPr>
            <w:r>
              <w:rPr>
                <w:rFonts w:hint="eastAsia"/>
                <w:szCs w:val="21"/>
              </w:rPr>
              <w:t>2、</w:t>
            </w:r>
            <w:r>
              <w:rPr>
                <w:szCs w:val="21"/>
              </w:rPr>
              <w:t>厂区内配置堵漏材料，例如黄沙、蛇皮袋等</w:t>
            </w:r>
            <w:r>
              <w:rPr>
                <w:rFonts w:hint="eastAsia"/>
                <w:szCs w:val="21"/>
              </w:rPr>
              <w:t>；</w:t>
            </w:r>
          </w:p>
          <w:p>
            <w:pPr>
              <w:pStyle w:val="61"/>
              <w:adjustRightInd w:val="0"/>
              <w:snapToGrid w:val="0"/>
              <w:rPr>
                <w:rFonts w:hint="eastAsia" w:eastAsia="宋体"/>
                <w:szCs w:val="21"/>
              </w:rPr>
            </w:pPr>
            <w:r>
              <w:rPr>
                <w:rFonts w:hint="eastAsia" w:eastAsia="宋体"/>
                <w:szCs w:val="21"/>
              </w:rPr>
              <w:t>3、</w:t>
            </w:r>
            <w:r>
              <w:rPr>
                <w:rFonts w:eastAsia="宋体"/>
                <w:szCs w:val="21"/>
              </w:rPr>
              <w:t>厂内配置一定量的消防器材</w:t>
            </w:r>
            <w:r>
              <w:rPr>
                <w:rFonts w:hint="eastAsia" w:eastAsia="宋体"/>
                <w:szCs w:val="21"/>
              </w:rPr>
              <w:t>；</w:t>
            </w:r>
          </w:p>
          <w:p>
            <w:pPr>
              <w:pStyle w:val="61"/>
              <w:adjustRightInd w:val="0"/>
              <w:snapToGrid w:val="0"/>
              <w:rPr>
                <w:rFonts w:eastAsia="宋体"/>
                <w:szCs w:val="21"/>
              </w:rPr>
            </w:pPr>
            <w:r>
              <w:rPr>
                <w:rFonts w:hint="eastAsia" w:eastAsia="宋体"/>
                <w:szCs w:val="21"/>
              </w:rPr>
              <w:t>4、</w:t>
            </w:r>
            <w:r>
              <w:rPr>
                <w:rFonts w:eastAsia="宋体"/>
                <w:szCs w:val="21"/>
              </w:rPr>
              <w:t>制定突发事故对策和应急预案</w:t>
            </w:r>
            <w:r>
              <w:rPr>
                <w:rFonts w:hint="eastAsia" w:eastAsia="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1329" w:type="dxa"/>
            <w:noWrap w:val="0"/>
            <w:vAlign w:val="center"/>
          </w:tcPr>
          <w:p>
            <w:pPr>
              <w:adjustRightInd w:val="0"/>
              <w:snapToGrid w:val="0"/>
              <w:jc w:val="center"/>
              <w:rPr>
                <w:spacing w:val="-8"/>
                <w:szCs w:val="21"/>
              </w:rPr>
            </w:pPr>
            <w:r>
              <w:rPr>
                <w:spacing w:val="-8"/>
                <w:szCs w:val="21"/>
              </w:rPr>
              <w:t>其他环境</w:t>
            </w:r>
          </w:p>
          <w:p>
            <w:pPr>
              <w:adjustRightInd w:val="0"/>
              <w:snapToGrid w:val="0"/>
              <w:jc w:val="center"/>
              <w:rPr>
                <w:spacing w:val="-8"/>
                <w:szCs w:val="21"/>
              </w:rPr>
            </w:pPr>
            <w:r>
              <w:rPr>
                <w:spacing w:val="-8"/>
                <w:szCs w:val="21"/>
              </w:rPr>
              <w:t>管理要求</w:t>
            </w:r>
          </w:p>
        </w:tc>
        <w:tc>
          <w:tcPr>
            <w:tcW w:w="7471" w:type="dxa"/>
            <w:gridSpan w:val="4"/>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1、项目正式运行时需签订一般固废处置协议、危险固废处置协议；</w:t>
            </w:r>
          </w:p>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2、落实危险固废台账等要求；</w:t>
            </w:r>
          </w:p>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3、落实本报告的例行监测要求；</w:t>
            </w:r>
          </w:p>
          <w:p>
            <w:pPr>
              <w:adjustRightInd w:val="0"/>
              <w:snapToGrid w:val="0"/>
              <w:jc w:val="center"/>
              <w:rPr>
                <w:szCs w:val="21"/>
              </w:rPr>
            </w:pPr>
            <w:r>
              <w:rPr>
                <w:rFonts w:hint="eastAsia" w:ascii="Times New Roman" w:hAnsi="Times New Roman" w:eastAsia="宋体" w:cs="Times New Roman"/>
                <w:kern w:val="2"/>
                <w:sz w:val="21"/>
                <w:szCs w:val="21"/>
                <w:lang w:val="en-US" w:eastAsia="zh-CN" w:bidi="ar-SA"/>
              </w:rPr>
              <w:t>4、落实危险固废仓库，废气排放口等标识牌。</w:t>
            </w:r>
          </w:p>
        </w:tc>
      </w:tr>
    </w:tbl>
    <w:p>
      <w:pPr>
        <w:pStyle w:val="20"/>
        <w:jc w:val="center"/>
        <w:outlineLvl w:val="0"/>
        <w:rPr>
          <w:rFonts w:hint="eastAsia" w:cs="宋体"/>
          <w:b/>
          <w:bCs/>
          <w:snapToGrid w:val="0"/>
          <w:sz w:val="30"/>
          <w:szCs w:val="30"/>
        </w:rPr>
      </w:pPr>
      <w:r>
        <w:rPr>
          <w:snapToGrid w:val="0"/>
          <w:color w:val="0000FF"/>
        </w:rPr>
        <w:br w:type="page"/>
      </w:r>
      <w:bookmarkStart w:id="17" w:name="_Toc12206"/>
      <w:r>
        <w:rPr>
          <w:rFonts w:hint="eastAsia" w:cs="宋体"/>
          <w:b/>
          <w:bCs/>
          <w:snapToGrid w:val="0"/>
          <w:sz w:val="30"/>
          <w:szCs w:val="30"/>
        </w:rPr>
        <w:t>六、结论</w:t>
      </w:r>
      <w:bookmarkEnd w:id="17"/>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spacing w:line="360" w:lineRule="auto"/>
              <w:ind w:firstLine="480" w:firstLineChars="200"/>
              <w:rPr>
                <w:rFonts w:ascii="宋体" w:cs="宋体"/>
                <w:sz w:val="24"/>
              </w:rPr>
            </w:pPr>
            <w:r>
              <w:rPr>
                <w:rFonts w:hint="eastAsia" w:ascii="宋体" w:hAnsi="宋体" w:cs="宋体"/>
                <w:bCs/>
                <w:sz w:val="24"/>
              </w:rPr>
              <w:t>本项目的建设符合国家产业政策，选址与当地规划相符，各项污染物能够实现达标排放，对环境的影响较小，不会造成区域环境功能的改变，因此从环境保护的角度来讲，本评价认为该项目在坚持“三同时”原则并采取一定的环保措施后，在拟建地建设是可行的。</w:t>
            </w:r>
          </w:p>
        </w:tc>
      </w:tr>
    </w:tbl>
    <w:p>
      <w:pPr>
        <w:rPr>
          <w:rFonts w:ascii="宋体"/>
          <w:color w:val="0000FF"/>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0"/>
        <w:adjustRightInd w:val="0"/>
        <w:snapToGrid w:val="0"/>
        <w:spacing w:before="0" w:beforeAutospacing="0" w:after="0" w:afterAutospacing="0" w:line="648" w:lineRule="auto"/>
        <w:outlineLvl w:val="0"/>
        <w:rPr>
          <w:rFonts w:hint="eastAsia" w:cs="宋体"/>
          <w:b/>
          <w:bCs/>
          <w:snapToGrid w:val="0"/>
          <w:sz w:val="32"/>
          <w:szCs w:val="32"/>
        </w:rPr>
      </w:pPr>
      <w:bookmarkStart w:id="18" w:name="_Toc14652"/>
      <w:r>
        <w:rPr>
          <w:rFonts w:hint="eastAsia" w:cs="宋体"/>
          <w:b/>
          <w:bCs/>
          <w:snapToGrid w:val="0"/>
          <w:sz w:val="32"/>
          <w:szCs w:val="32"/>
        </w:rPr>
        <w:t>附表</w:t>
      </w:r>
      <w:bookmarkEnd w:id="18"/>
    </w:p>
    <w:p>
      <w:pPr>
        <w:pStyle w:val="20"/>
        <w:adjustRightInd w:val="0"/>
        <w:snapToGrid w:val="0"/>
        <w:spacing w:before="0" w:beforeAutospacing="0" w:after="0" w:afterAutospacing="0"/>
        <w:jc w:val="center"/>
        <w:rPr>
          <w:rFonts w:hint="eastAsia" w:cs="宋体"/>
          <w:b/>
          <w:bCs/>
          <w:snapToGrid w:val="0"/>
          <w:sz w:val="38"/>
          <w:szCs w:val="38"/>
        </w:rPr>
      </w:pPr>
      <w:r>
        <w:rPr>
          <w:rFonts w:hint="eastAsia" w:cs="宋体"/>
          <w:b/>
          <w:bCs/>
          <w:snapToGrid w:val="0"/>
          <w:sz w:val="38"/>
          <w:szCs w:val="38"/>
        </w:rPr>
        <w:t>建设项目污染物排放量汇总表</w:t>
      </w:r>
    </w:p>
    <w:tbl>
      <w:tblPr>
        <w:tblStyle w:val="23"/>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45"/>
        <w:gridCol w:w="1701"/>
        <w:gridCol w:w="1276"/>
        <w:gridCol w:w="1701"/>
        <w:gridCol w:w="1559"/>
        <w:gridCol w:w="1761"/>
        <w:gridCol w:w="1599"/>
        <w:gridCol w:w="11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0" w:type="dxa"/>
            <w:tcBorders>
              <w:tl2br w:val="single" w:color="auto" w:sz="4" w:space="0"/>
            </w:tcBorders>
            <w:noWrap w:val="0"/>
            <w:tcMar>
              <w:left w:w="28" w:type="dxa"/>
              <w:right w:w="28" w:type="dxa"/>
            </w:tcMar>
            <w:vAlign w:val="center"/>
          </w:tcPr>
          <w:p>
            <w:pPr>
              <w:pStyle w:val="39"/>
              <w:spacing w:beforeLines="0" w:afterLines="0" w:line="240" w:lineRule="auto"/>
              <w:rPr>
                <w:rFonts w:ascii="Times New Roman" w:hAnsi="Times New Roman" w:eastAsia="宋体"/>
                <w:snapToGrid w:val="0"/>
                <w:spacing w:val="-6"/>
                <w:kern w:val="21"/>
                <w:szCs w:val="21"/>
              </w:rPr>
            </w:pPr>
            <w:r>
              <w:rPr>
                <w:rFonts w:hint="eastAsia" w:ascii="Times New Roman" w:hAnsi="Times New Roman" w:eastAsia="宋体"/>
                <w:snapToGrid w:val="0"/>
                <w:spacing w:val="-6"/>
                <w:kern w:val="21"/>
                <w:szCs w:val="21"/>
              </w:rPr>
              <w:t xml:space="preserve">      </w:t>
            </w:r>
            <w:r>
              <w:rPr>
                <w:rFonts w:ascii="Times New Roman" w:hAnsi="Times New Roman" w:eastAsia="宋体"/>
                <w:snapToGrid w:val="0"/>
                <w:spacing w:val="-6"/>
                <w:kern w:val="21"/>
                <w:szCs w:val="21"/>
              </w:rPr>
              <w:t>项目</w:t>
            </w:r>
          </w:p>
          <w:p>
            <w:pPr>
              <w:pStyle w:val="39"/>
              <w:spacing w:beforeLines="0" w:afterLines="0" w:line="240" w:lineRule="auto"/>
              <w:jc w:val="both"/>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分类</w:t>
            </w:r>
          </w:p>
        </w:tc>
        <w:tc>
          <w:tcPr>
            <w:tcW w:w="1545" w:type="dxa"/>
            <w:noWrap w:val="0"/>
            <w:tcMar>
              <w:left w:w="28" w:type="dxa"/>
              <w:right w:w="28" w:type="dxa"/>
            </w:tcMar>
            <w:vAlign w:val="center"/>
          </w:tcPr>
          <w:p>
            <w:pPr>
              <w:pStyle w:val="39"/>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污染物名称</w:t>
            </w:r>
          </w:p>
        </w:tc>
        <w:tc>
          <w:tcPr>
            <w:tcW w:w="1701" w:type="dxa"/>
            <w:noWrap w:val="0"/>
            <w:tcMar>
              <w:left w:w="28" w:type="dxa"/>
              <w:right w:w="28" w:type="dxa"/>
            </w:tcMar>
            <w:vAlign w:val="center"/>
          </w:tcPr>
          <w:p>
            <w:pPr>
              <w:pStyle w:val="39"/>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现有工程</w:t>
            </w:r>
          </w:p>
          <w:p>
            <w:pPr>
              <w:pStyle w:val="39"/>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排放量（固体废物产生量）</w:t>
            </w:r>
            <w:r>
              <w:rPr>
                <w:rFonts w:ascii="Times New Roman" w:hAnsi="Times New Roman" w:eastAsia="宋体"/>
                <w:snapToGrid w:val="0"/>
                <w:spacing w:val="-6"/>
                <w:kern w:val="21"/>
                <w:szCs w:val="21"/>
              </w:rPr>
              <w:fldChar w:fldCharType="begin"/>
            </w:r>
            <w:r>
              <w:rPr>
                <w:rFonts w:ascii="Times New Roman" w:hAnsi="Times New Roman" w:eastAsia="宋体"/>
                <w:snapToGrid w:val="0"/>
                <w:spacing w:val="-6"/>
                <w:kern w:val="21"/>
                <w:szCs w:val="21"/>
              </w:rPr>
              <w:instrText xml:space="preserve"> = 1 \* GB3 \* MERGEFORMAT </w:instrText>
            </w:r>
            <w:r>
              <w:rPr>
                <w:rFonts w:ascii="Times New Roman" w:hAnsi="Times New Roman" w:eastAsia="宋体"/>
                <w:snapToGrid w:val="0"/>
                <w:spacing w:val="-6"/>
                <w:kern w:val="21"/>
                <w:szCs w:val="21"/>
              </w:rPr>
              <w:fldChar w:fldCharType="separate"/>
            </w:r>
            <w:r>
              <w:rPr>
                <w:rFonts w:ascii="Times New Roman" w:hAnsi="Times New Roman" w:eastAsia="宋体"/>
                <w:szCs w:val="21"/>
              </w:rPr>
              <w:t>①</w:t>
            </w:r>
            <w:r>
              <w:rPr>
                <w:rFonts w:ascii="Times New Roman" w:hAnsi="Times New Roman" w:eastAsia="宋体"/>
                <w:snapToGrid w:val="0"/>
                <w:spacing w:val="-6"/>
                <w:kern w:val="21"/>
                <w:szCs w:val="21"/>
              </w:rPr>
              <w:fldChar w:fldCharType="end"/>
            </w:r>
          </w:p>
        </w:tc>
        <w:tc>
          <w:tcPr>
            <w:tcW w:w="1276" w:type="dxa"/>
            <w:noWrap w:val="0"/>
            <w:tcMar>
              <w:left w:w="28" w:type="dxa"/>
              <w:right w:w="28" w:type="dxa"/>
            </w:tcMar>
            <w:vAlign w:val="center"/>
          </w:tcPr>
          <w:p>
            <w:pPr>
              <w:pStyle w:val="39"/>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现有工程</w:t>
            </w:r>
          </w:p>
          <w:p>
            <w:pPr>
              <w:pStyle w:val="39"/>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许可排放量</w:t>
            </w:r>
          </w:p>
          <w:p>
            <w:pPr>
              <w:pStyle w:val="39"/>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fldChar w:fldCharType="begin"/>
            </w:r>
            <w:r>
              <w:rPr>
                <w:rFonts w:ascii="Times New Roman" w:hAnsi="Times New Roman" w:eastAsia="宋体"/>
                <w:snapToGrid w:val="0"/>
                <w:spacing w:val="-6"/>
                <w:kern w:val="21"/>
                <w:szCs w:val="21"/>
              </w:rPr>
              <w:instrText xml:space="preserve"> = 2 \* GB3 \* MERGEFORMAT </w:instrText>
            </w:r>
            <w:r>
              <w:rPr>
                <w:rFonts w:ascii="Times New Roman" w:hAnsi="Times New Roman" w:eastAsia="宋体"/>
                <w:snapToGrid w:val="0"/>
                <w:spacing w:val="-6"/>
                <w:kern w:val="21"/>
                <w:szCs w:val="21"/>
              </w:rPr>
              <w:fldChar w:fldCharType="separate"/>
            </w:r>
            <w:r>
              <w:rPr>
                <w:rFonts w:ascii="Times New Roman" w:hAnsi="Times New Roman" w:eastAsia="宋体"/>
                <w:snapToGrid w:val="0"/>
                <w:spacing w:val="-6"/>
                <w:kern w:val="21"/>
                <w:szCs w:val="21"/>
              </w:rPr>
              <w:t>②</w:t>
            </w:r>
            <w:r>
              <w:rPr>
                <w:rFonts w:ascii="Times New Roman" w:hAnsi="Times New Roman" w:eastAsia="宋体"/>
                <w:snapToGrid w:val="0"/>
                <w:spacing w:val="-6"/>
                <w:kern w:val="21"/>
                <w:szCs w:val="21"/>
              </w:rPr>
              <w:fldChar w:fldCharType="end"/>
            </w:r>
          </w:p>
        </w:tc>
        <w:tc>
          <w:tcPr>
            <w:tcW w:w="1701" w:type="dxa"/>
            <w:noWrap w:val="0"/>
            <w:tcMar>
              <w:left w:w="28" w:type="dxa"/>
              <w:right w:w="28" w:type="dxa"/>
            </w:tcMar>
            <w:vAlign w:val="center"/>
          </w:tcPr>
          <w:p>
            <w:pPr>
              <w:pStyle w:val="39"/>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在建工程</w:t>
            </w:r>
          </w:p>
          <w:p>
            <w:pPr>
              <w:pStyle w:val="39"/>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排放量（固体废物产生量）</w:t>
            </w:r>
            <w:r>
              <w:rPr>
                <w:rFonts w:ascii="Times New Roman" w:hAnsi="Times New Roman" w:eastAsia="宋体"/>
                <w:snapToGrid w:val="0"/>
                <w:spacing w:val="-6"/>
                <w:kern w:val="21"/>
                <w:szCs w:val="21"/>
              </w:rPr>
              <w:fldChar w:fldCharType="begin"/>
            </w:r>
            <w:r>
              <w:rPr>
                <w:rFonts w:ascii="Times New Roman" w:hAnsi="Times New Roman" w:eastAsia="宋体"/>
                <w:snapToGrid w:val="0"/>
                <w:spacing w:val="-6"/>
                <w:kern w:val="21"/>
                <w:szCs w:val="21"/>
              </w:rPr>
              <w:instrText xml:space="preserve"> = 3 \* GB3 \* MERGEFORMAT </w:instrText>
            </w:r>
            <w:r>
              <w:rPr>
                <w:rFonts w:ascii="Times New Roman" w:hAnsi="Times New Roman" w:eastAsia="宋体"/>
                <w:snapToGrid w:val="0"/>
                <w:spacing w:val="-6"/>
                <w:kern w:val="21"/>
                <w:szCs w:val="21"/>
              </w:rPr>
              <w:fldChar w:fldCharType="separate"/>
            </w:r>
            <w:r>
              <w:rPr>
                <w:rFonts w:ascii="Times New Roman" w:hAnsi="Times New Roman" w:eastAsia="宋体"/>
                <w:szCs w:val="21"/>
              </w:rPr>
              <w:t>③</w:t>
            </w:r>
            <w:r>
              <w:rPr>
                <w:rFonts w:ascii="Times New Roman" w:hAnsi="Times New Roman" w:eastAsia="宋体"/>
                <w:snapToGrid w:val="0"/>
                <w:spacing w:val="-6"/>
                <w:kern w:val="21"/>
                <w:szCs w:val="21"/>
              </w:rPr>
              <w:fldChar w:fldCharType="end"/>
            </w:r>
          </w:p>
        </w:tc>
        <w:tc>
          <w:tcPr>
            <w:tcW w:w="1559" w:type="dxa"/>
            <w:noWrap w:val="0"/>
            <w:tcMar>
              <w:left w:w="28" w:type="dxa"/>
              <w:right w:w="28" w:type="dxa"/>
            </w:tcMar>
            <w:vAlign w:val="center"/>
          </w:tcPr>
          <w:p>
            <w:pPr>
              <w:pStyle w:val="39"/>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本项目</w:t>
            </w:r>
          </w:p>
          <w:p>
            <w:pPr>
              <w:pStyle w:val="39"/>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排放量（固体废物产生量）</w:t>
            </w:r>
            <w:r>
              <w:rPr>
                <w:rFonts w:ascii="Times New Roman" w:hAnsi="Times New Roman" w:eastAsia="宋体"/>
                <w:snapToGrid w:val="0"/>
                <w:spacing w:val="-6"/>
                <w:kern w:val="21"/>
                <w:szCs w:val="21"/>
              </w:rPr>
              <w:fldChar w:fldCharType="begin"/>
            </w:r>
            <w:r>
              <w:rPr>
                <w:rFonts w:ascii="Times New Roman" w:hAnsi="Times New Roman" w:eastAsia="宋体"/>
                <w:snapToGrid w:val="0"/>
                <w:spacing w:val="-6"/>
                <w:kern w:val="21"/>
                <w:szCs w:val="21"/>
              </w:rPr>
              <w:instrText xml:space="preserve"> = 4 \* GB3 \* MERGEFORMAT </w:instrText>
            </w:r>
            <w:r>
              <w:rPr>
                <w:rFonts w:ascii="Times New Roman" w:hAnsi="Times New Roman" w:eastAsia="宋体"/>
                <w:snapToGrid w:val="0"/>
                <w:spacing w:val="-6"/>
                <w:kern w:val="21"/>
                <w:szCs w:val="21"/>
              </w:rPr>
              <w:fldChar w:fldCharType="separate"/>
            </w:r>
            <w:r>
              <w:rPr>
                <w:rFonts w:ascii="Times New Roman" w:hAnsi="Times New Roman" w:eastAsia="宋体"/>
                <w:szCs w:val="21"/>
              </w:rPr>
              <w:t>④</w:t>
            </w:r>
            <w:r>
              <w:rPr>
                <w:rFonts w:ascii="Times New Roman" w:hAnsi="Times New Roman" w:eastAsia="宋体"/>
                <w:snapToGrid w:val="0"/>
                <w:spacing w:val="-6"/>
                <w:kern w:val="21"/>
                <w:szCs w:val="21"/>
              </w:rPr>
              <w:fldChar w:fldCharType="end"/>
            </w:r>
          </w:p>
        </w:tc>
        <w:tc>
          <w:tcPr>
            <w:tcW w:w="1761" w:type="dxa"/>
            <w:noWrap w:val="0"/>
            <w:tcMar>
              <w:left w:w="28" w:type="dxa"/>
              <w:right w:w="28" w:type="dxa"/>
            </w:tcMar>
            <w:vAlign w:val="center"/>
          </w:tcPr>
          <w:p>
            <w:pPr>
              <w:pStyle w:val="39"/>
              <w:spacing w:beforeLines="0" w:afterLines="0" w:line="240" w:lineRule="auto"/>
              <w:rPr>
                <w:rFonts w:ascii="Times New Roman" w:hAnsi="Times New Roman" w:eastAsia="宋体"/>
                <w:snapToGrid w:val="0"/>
                <w:spacing w:val="-16"/>
                <w:kern w:val="21"/>
                <w:szCs w:val="21"/>
              </w:rPr>
            </w:pPr>
            <w:r>
              <w:rPr>
                <w:rFonts w:ascii="Times New Roman" w:hAnsi="Times New Roman" w:eastAsia="宋体"/>
                <w:snapToGrid w:val="0"/>
                <w:spacing w:val="-16"/>
                <w:kern w:val="21"/>
                <w:szCs w:val="21"/>
              </w:rPr>
              <w:t>以新带老削减量</w:t>
            </w:r>
          </w:p>
          <w:p>
            <w:pPr>
              <w:pStyle w:val="39"/>
              <w:spacing w:beforeLines="0" w:afterLines="0" w:line="240" w:lineRule="auto"/>
              <w:rPr>
                <w:rFonts w:ascii="Times New Roman" w:hAnsi="Times New Roman" w:eastAsia="宋体"/>
                <w:snapToGrid w:val="0"/>
                <w:spacing w:val="-16"/>
                <w:kern w:val="21"/>
                <w:szCs w:val="21"/>
              </w:rPr>
            </w:pPr>
            <w:r>
              <w:rPr>
                <w:rFonts w:ascii="Times New Roman" w:hAnsi="Times New Roman" w:eastAsia="宋体"/>
                <w:snapToGrid w:val="0"/>
                <w:spacing w:val="-16"/>
                <w:kern w:val="21"/>
                <w:szCs w:val="21"/>
              </w:rPr>
              <w:t>（新建项目不填）</w:t>
            </w:r>
            <w:r>
              <w:rPr>
                <w:rFonts w:ascii="Times New Roman" w:hAnsi="Times New Roman" w:eastAsia="宋体"/>
                <w:snapToGrid w:val="0"/>
                <w:spacing w:val="-16"/>
                <w:kern w:val="21"/>
                <w:szCs w:val="21"/>
              </w:rPr>
              <w:fldChar w:fldCharType="begin"/>
            </w:r>
            <w:r>
              <w:rPr>
                <w:rFonts w:ascii="Times New Roman" w:hAnsi="Times New Roman" w:eastAsia="宋体"/>
                <w:snapToGrid w:val="0"/>
                <w:spacing w:val="-16"/>
                <w:kern w:val="21"/>
                <w:szCs w:val="21"/>
              </w:rPr>
              <w:instrText xml:space="preserve"> = 5 \* GB3 \* MERGEFORMAT </w:instrText>
            </w:r>
            <w:r>
              <w:rPr>
                <w:rFonts w:ascii="Times New Roman" w:hAnsi="Times New Roman" w:eastAsia="宋体"/>
                <w:snapToGrid w:val="0"/>
                <w:spacing w:val="-16"/>
                <w:kern w:val="21"/>
                <w:szCs w:val="21"/>
              </w:rPr>
              <w:fldChar w:fldCharType="separate"/>
            </w:r>
            <w:r>
              <w:rPr>
                <w:rFonts w:ascii="Times New Roman" w:hAnsi="Times New Roman" w:eastAsia="宋体"/>
                <w:szCs w:val="21"/>
              </w:rPr>
              <w:t>⑤</w:t>
            </w:r>
            <w:r>
              <w:rPr>
                <w:rFonts w:ascii="Times New Roman" w:hAnsi="Times New Roman" w:eastAsia="宋体"/>
                <w:snapToGrid w:val="0"/>
                <w:spacing w:val="-16"/>
                <w:kern w:val="21"/>
                <w:szCs w:val="21"/>
              </w:rPr>
              <w:fldChar w:fldCharType="end"/>
            </w:r>
          </w:p>
        </w:tc>
        <w:tc>
          <w:tcPr>
            <w:tcW w:w="1599" w:type="dxa"/>
            <w:noWrap w:val="0"/>
            <w:tcMar>
              <w:left w:w="28" w:type="dxa"/>
              <w:right w:w="28" w:type="dxa"/>
            </w:tcMar>
            <w:vAlign w:val="center"/>
          </w:tcPr>
          <w:p>
            <w:pPr>
              <w:pStyle w:val="39"/>
              <w:spacing w:beforeLines="0" w:afterLines="0" w:line="240" w:lineRule="auto"/>
              <w:rPr>
                <w:rFonts w:ascii="Times New Roman" w:hAnsi="Times New Roman" w:eastAsia="宋体"/>
                <w:snapToGrid w:val="0"/>
                <w:spacing w:val="-16"/>
                <w:kern w:val="21"/>
                <w:szCs w:val="21"/>
              </w:rPr>
            </w:pPr>
            <w:r>
              <w:rPr>
                <w:rFonts w:ascii="Times New Roman" w:hAnsi="Times New Roman" w:eastAsia="宋体"/>
                <w:snapToGrid w:val="0"/>
                <w:spacing w:val="-16"/>
                <w:kern w:val="21"/>
                <w:szCs w:val="21"/>
              </w:rPr>
              <w:t>本项目建成后</w:t>
            </w:r>
          </w:p>
          <w:p>
            <w:pPr>
              <w:pStyle w:val="39"/>
              <w:spacing w:beforeLines="0" w:afterLines="0" w:line="240" w:lineRule="auto"/>
              <w:rPr>
                <w:rFonts w:ascii="Times New Roman" w:hAnsi="Times New Roman" w:eastAsia="宋体"/>
                <w:snapToGrid w:val="0"/>
                <w:spacing w:val="-16"/>
                <w:kern w:val="21"/>
                <w:szCs w:val="21"/>
              </w:rPr>
            </w:pPr>
            <w:r>
              <w:rPr>
                <w:rFonts w:ascii="Times New Roman" w:hAnsi="Times New Roman" w:eastAsia="宋体"/>
                <w:snapToGrid w:val="0"/>
                <w:spacing w:val="-16"/>
                <w:kern w:val="21"/>
                <w:szCs w:val="21"/>
              </w:rPr>
              <w:t>全厂排放量（固体废物产生量）</w:t>
            </w:r>
            <w:r>
              <w:rPr>
                <w:rFonts w:ascii="Times New Roman" w:hAnsi="Times New Roman" w:eastAsia="宋体"/>
                <w:snapToGrid w:val="0"/>
                <w:spacing w:val="-16"/>
                <w:kern w:val="21"/>
                <w:szCs w:val="21"/>
              </w:rPr>
              <w:fldChar w:fldCharType="begin"/>
            </w:r>
            <w:r>
              <w:rPr>
                <w:rFonts w:ascii="Times New Roman" w:hAnsi="Times New Roman" w:eastAsia="宋体"/>
                <w:snapToGrid w:val="0"/>
                <w:spacing w:val="-16"/>
                <w:kern w:val="21"/>
                <w:szCs w:val="21"/>
              </w:rPr>
              <w:instrText xml:space="preserve"> = 6 \* GB3 \* MERGEFORMAT </w:instrText>
            </w:r>
            <w:r>
              <w:rPr>
                <w:rFonts w:ascii="Times New Roman" w:hAnsi="Times New Roman" w:eastAsia="宋体"/>
                <w:snapToGrid w:val="0"/>
                <w:spacing w:val="-16"/>
                <w:kern w:val="21"/>
                <w:szCs w:val="21"/>
              </w:rPr>
              <w:fldChar w:fldCharType="separate"/>
            </w:r>
            <w:r>
              <w:rPr>
                <w:rFonts w:ascii="Times New Roman" w:hAnsi="Times New Roman" w:eastAsia="宋体"/>
                <w:szCs w:val="21"/>
              </w:rPr>
              <w:t>⑥</w:t>
            </w:r>
            <w:r>
              <w:rPr>
                <w:rFonts w:ascii="Times New Roman" w:hAnsi="Times New Roman" w:eastAsia="宋体"/>
                <w:snapToGrid w:val="0"/>
                <w:spacing w:val="-16"/>
                <w:kern w:val="21"/>
                <w:szCs w:val="21"/>
              </w:rPr>
              <w:fldChar w:fldCharType="end"/>
            </w:r>
          </w:p>
        </w:tc>
        <w:tc>
          <w:tcPr>
            <w:tcW w:w="1186" w:type="dxa"/>
            <w:noWrap w:val="0"/>
            <w:tcMar>
              <w:left w:w="28" w:type="dxa"/>
              <w:right w:w="28" w:type="dxa"/>
            </w:tcMar>
            <w:vAlign w:val="center"/>
          </w:tcPr>
          <w:p>
            <w:pPr>
              <w:pStyle w:val="39"/>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变化量</w:t>
            </w:r>
          </w:p>
          <w:p>
            <w:pPr>
              <w:pStyle w:val="39"/>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fldChar w:fldCharType="begin"/>
            </w:r>
            <w:r>
              <w:rPr>
                <w:rFonts w:ascii="Times New Roman" w:hAnsi="Times New Roman" w:eastAsia="宋体"/>
                <w:snapToGrid w:val="0"/>
                <w:spacing w:val="-6"/>
                <w:kern w:val="21"/>
                <w:szCs w:val="21"/>
              </w:rPr>
              <w:instrText xml:space="preserve"> = 7 \* GB3 \* MERGEFORMAT </w:instrText>
            </w:r>
            <w:r>
              <w:rPr>
                <w:rFonts w:ascii="Times New Roman" w:hAnsi="Times New Roman" w:eastAsia="宋体"/>
                <w:snapToGrid w:val="0"/>
                <w:spacing w:val="-6"/>
                <w:kern w:val="21"/>
                <w:szCs w:val="21"/>
              </w:rPr>
              <w:fldChar w:fldCharType="separate"/>
            </w:r>
            <w:r>
              <w:rPr>
                <w:rFonts w:ascii="Times New Roman" w:hAnsi="Times New Roman" w:eastAsia="宋体"/>
                <w:szCs w:val="21"/>
              </w:rPr>
              <w:t>⑦</w:t>
            </w:r>
            <w:r>
              <w:rPr>
                <w:rFonts w:ascii="Times New Roman" w:hAnsi="Times New Roman" w:eastAsia="宋体"/>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0" w:type="dxa"/>
            <w:noWrap w:val="0"/>
            <w:vAlign w:val="center"/>
          </w:tcPr>
          <w:p>
            <w:pPr>
              <w:pStyle w:val="39"/>
              <w:spacing w:beforeLines="0" w:afterLines="0" w:line="240" w:lineRule="auto"/>
              <w:rPr>
                <w:rFonts w:hint="default" w:ascii="Times New Roman" w:hAnsi="Times New Roman" w:eastAsia="宋体"/>
                <w:snapToGrid w:val="0"/>
                <w:kern w:val="21"/>
                <w:szCs w:val="21"/>
                <w:lang w:val="en-US" w:eastAsia="zh-CN"/>
              </w:rPr>
            </w:pPr>
            <w:r>
              <w:rPr>
                <w:rFonts w:hint="eastAsia" w:ascii="Times New Roman" w:hAnsi="Times New Roman" w:eastAsia="宋体"/>
                <w:snapToGrid w:val="0"/>
                <w:kern w:val="21"/>
                <w:szCs w:val="21"/>
                <w:lang w:val="en-US" w:eastAsia="zh-CN"/>
              </w:rPr>
              <w:t>废气</w:t>
            </w:r>
          </w:p>
        </w:tc>
        <w:tc>
          <w:tcPr>
            <w:tcW w:w="1545" w:type="dxa"/>
            <w:noWrap w:val="0"/>
            <w:vAlign w:val="center"/>
          </w:tcPr>
          <w:p>
            <w:pPr>
              <w:pStyle w:val="39"/>
              <w:spacing w:beforeLines="0" w:afterLines="0" w:line="240" w:lineRule="auto"/>
              <w:rPr>
                <w:rFonts w:hint="eastAsia" w:ascii="Times New Roman" w:hAnsi="Times New Roman" w:eastAsia="宋体"/>
                <w:snapToGrid w:val="0"/>
                <w:kern w:val="21"/>
                <w:szCs w:val="21"/>
                <w:lang w:eastAsia="zh-CN"/>
              </w:rPr>
            </w:pPr>
            <w:r>
              <w:rPr>
                <w:rFonts w:hint="eastAsia" w:ascii="Times New Roman" w:hAnsi="Times New Roman" w:eastAsia="宋体"/>
                <w:snapToGrid w:val="0"/>
                <w:kern w:val="21"/>
                <w:szCs w:val="21"/>
                <w:lang w:eastAsia="zh-CN"/>
              </w:rPr>
              <w:t>颗粒物</w:t>
            </w:r>
          </w:p>
        </w:tc>
        <w:tc>
          <w:tcPr>
            <w:tcW w:w="1701" w:type="dxa"/>
            <w:noWrap w:val="0"/>
            <w:vAlign w:val="center"/>
          </w:tcPr>
          <w:p>
            <w:pPr>
              <w:jc w:val="center"/>
              <w:rPr>
                <w:rFonts w:hint="eastAsia" w:eastAsia="宋体"/>
                <w:snapToGrid w:val="0"/>
                <w:kern w:val="21"/>
                <w:szCs w:val="21"/>
                <w:lang w:val="en-US" w:eastAsia="zh-CN"/>
              </w:rPr>
            </w:pPr>
            <w:r>
              <w:rPr>
                <w:rFonts w:hint="eastAsia"/>
                <w:snapToGrid w:val="0"/>
                <w:kern w:val="21"/>
                <w:szCs w:val="21"/>
                <w:lang w:val="en-US" w:eastAsia="zh-CN"/>
              </w:rPr>
              <w:t>0</w:t>
            </w:r>
          </w:p>
        </w:tc>
        <w:tc>
          <w:tcPr>
            <w:tcW w:w="1276" w:type="dxa"/>
            <w:noWrap w:val="0"/>
            <w:vAlign w:val="center"/>
          </w:tcPr>
          <w:p>
            <w:pPr>
              <w:jc w:val="center"/>
              <w:rPr>
                <w:rFonts w:hint="eastAsia" w:eastAsia="宋体"/>
                <w:snapToGrid w:val="0"/>
                <w:kern w:val="21"/>
                <w:szCs w:val="21"/>
                <w:lang w:val="en-US" w:eastAsia="zh-CN"/>
              </w:rPr>
            </w:pPr>
            <w:r>
              <w:rPr>
                <w:rFonts w:hint="eastAsia"/>
                <w:snapToGrid w:val="0"/>
                <w:kern w:val="21"/>
                <w:szCs w:val="21"/>
                <w:lang w:val="en-US" w:eastAsia="zh-CN"/>
              </w:rPr>
              <w:t>0</w:t>
            </w:r>
          </w:p>
        </w:tc>
        <w:tc>
          <w:tcPr>
            <w:tcW w:w="1701" w:type="dxa"/>
            <w:noWrap w:val="0"/>
            <w:vAlign w:val="center"/>
          </w:tcPr>
          <w:p>
            <w:pPr>
              <w:jc w:val="center"/>
              <w:rPr>
                <w:rFonts w:hint="eastAsia" w:eastAsia="宋体"/>
                <w:snapToGrid w:val="0"/>
                <w:kern w:val="21"/>
                <w:szCs w:val="21"/>
                <w:lang w:val="en-US" w:eastAsia="zh-CN"/>
              </w:rPr>
            </w:pPr>
            <w:r>
              <w:rPr>
                <w:rFonts w:hint="eastAsia"/>
                <w:snapToGrid w:val="0"/>
                <w:kern w:val="21"/>
                <w:szCs w:val="21"/>
                <w:lang w:val="en-US" w:eastAsia="zh-CN"/>
              </w:rPr>
              <w:t>0</w:t>
            </w:r>
          </w:p>
        </w:tc>
        <w:tc>
          <w:tcPr>
            <w:tcW w:w="1559" w:type="dxa"/>
            <w:noWrap w:val="0"/>
            <w:vAlign w:val="center"/>
          </w:tcPr>
          <w:p>
            <w:pPr>
              <w:jc w:val="center"/>
              <w:rPr>
                <w:rFonts w:hint="default" w:ascii="Times New Roman" w:hAnsi="Times New Roman" w:eastAsia="宋体"/>
                <w:snapToGrid w:val="0"/>
                <w:kern w:val="21"/>
                <w:szCs w:val="21"/>
                <w:lang w:val="en-US" w:eastAsia="zh-CN"/>
              </w:rPr>
            </w:pPr>
            <w:r>
              <w:rPr>
                <w:rFonts w:hint="eastAsia"/>
                <w:snapToGrid w:val="0"/>
                <w:kern w:val="21"/>
                <w:szCs w:val="21"/>
                <w:lang w:val="en-US" w:eastAsia="zh-CN"/>
              </w:rPr>
              <w:t>0</w:t>
            </w:r>
          </w:p>
        </w:tc>
        <w:tc>
          <w:tcPr>
            <w:tcW w:w="1761" w:type="dxa"/>
            <w:noWrap w:val="0"/>
            <w:vAlign w:val="center"/>
          </w:tcPr>
          <w:p>
            <w:pPr>
              <w:jc w:val="center"/>
              <w:rPr>
                <w:rFonts w:hint="eastAsia" w:ascii="Times New Roman" w:hAnsi="Times New Roman" w:eastAsia="宋体"/>
                <w:snapToGrid w:val="0"/>
                <w:kern w:val="21"/>
                <w:szCs w:val="21"/>
                <w:lang w:val="en-US" w:eastAsia="zh-CN"/>
              </w:rPr>
            </w:pPr>
            <w:r>
              <w:rPr>
                <w:rFonts w:hint="eastAsia"/>
                <w:snapToGrid w:val="0"/>
                <w:kern w:val="21"/>
                <w:szCs w:val="21"/>
                <w:lang w:val="en-US" w:eastAsia="zh-CN"/>
              </w:rPr>
              <w:t>0</w:t>
            </w:r>
          </w:p>
        </w:tc>
        <w:tc>
          <w:tcPr>
            <w:tcW w:w="1599" w:type="dxa"/>
            <w:noWrap w:val="0"/>
            <w:vAlign w:val="center"/>
          </w:tcPr>
          <w:p>
            <w:pPr>
              <w:jc w:val="center"/>
              <w:rPr>
                <w:rFonts w:hint="default" w:ascii="Times New Roman" w:hAnsi="Times New Roman" w:eastAsia="宋体"/>
                <w:snapToGrid w:val="0"/>
                <w:kern w:val="21"/>
                <w:szCs w:val="21"/>
                <w:lang w:val="en-US" w:eastAsia="zh-CN"/>
              </w:rPr>
            </w:pPr>
            <w:r>
              <w:rPr>
                <w:rFonts w:hint="eastAsia"/>
                <w:snapToGrid w:val="0"/>
                <w:kern w:val="21"/>
                <w:szCs w:val="21"/>
                <w:lang w:val="en-US" w:eastAsia="zh-CN"/>
              </w:rPr>
              <w:t>0</w:t>
            </w:r>
          </w:p>
        </w:tc>
        <w:tc>
          <w:tcPr>
            <w:tcW w:w="1186" w:type="dxa"/>
            <w:noWrap w:val="0"/>
            <w:vAlign w:val="center"/>
          </w:tcPr>
          <w:p>
            <w:pPr>
              <w:jc w:val="center"/>
              <w:rPr>
                <w:rFonts w:hint="default" w:ascii="Times New Roman" w:hAnsi="Times New Roman" w:eastAsia="宋体"/>
                <w:snapToGrid w:val="0"/>
                <w:kern w:val="21"/>
                <w:szCs w:val="21"/>
                <w:lang w:val="en-US" w:eastAsia="zh-CN"/>
              </w:rPr>
            </w:pPr>
            <w:r>
              <w:rPr>
                <w:rFonts w:hint="eastAsia"/>
                <w:snapToGrid w:val="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0" w:type="dxa"/>
            <w:vMerge w:val="restart"/>
            <w:noWrap w:val="0"/>
            <w:vAlign w:val="center"/>
          </w:tcPr>
          <w:p>
            <w:pPr>
              <w:pStyle w:val="39"/>
              <w:spacing w:beforeLines="0" w:afterLines="0" w:line="240" w:lineRule="auto"/>
              <w:rPr>
                <w:rFonts w:ascii="Times New Roman" w:hAnsi="Times New Roman" w:eastAsia="宋体"/>
                <w:snapToGrid w:val="0"/>
                <w:kern w:val="21"/>
                <w:szCs w:val="21"/>
              </w:rPr>
            </w:pPr>
            <w:r>
              <w:rPr>
                <w:rFonts w:ascii="Times New Roman" w:hAnsi="Times New Roman" w:eastAsia="宋体"/>
                <w:snapToGrid w:val="0"/>
                <w:kern w:val="21"/>
                <w:szCs w:val="21"/>
              </w:rPr>
              <w:t>废水</w:t>
            </w:r>
          </w:p>
        </w:tc>
        <w:tc>
          <w:tcPr>
            <w:tcW w:w="1545" w:type="dxa"/>
            <w:noWrap w:val="0"/>
            <w:vAlign w:val="center"/>
          </w:tcPr>
          <w:p>
            <w:pPr>
              <w:pStyle w:val="48"/>
              <w:rPr>
                <w:rFonts w:eastAsia="宋体"/>
              </w:rPr>
            </w:pPr>
            <w:r>
              <w:rPr>
                <w:rFonts w:eastAsia="宋体"/>
              </w:rPr>
              <w:t>废水量</w:t>
            </w:r>
          </w:p>
        </w:tc>
        <w:tc>
          <w:tcPr>
            <w:tcW w:w="1701" w:type="dxa"/>
            <w:noWrap w:val="0"/>
            <w:vAlign w:val="center"/>
          </w:tcPr>
          <w:p>
            <w:pPr>
              <w:jc w:val="center"/>
            </w:pPr>
            <w:r>
              <w:rPr>
                <w:rFonts w:hint="eastAsia"/>
                <w:snapToGrid w:val="0"/>
                <w:kern w:val="21"/>
                <w:szCs w:val="21"/>
              </w:rPr>
              <w:t>0</w:t>
            </w:r>
          </w:p>
        </w:tc>
        <w:tc>
          <w:tcPr>
            <w:tcW w:w="1276" w:type="dxa"/>
            <w:noWrap w:val="0"/>
            <w:vAlign w:val="center"/>
          </w:tcPr>
          <w:p>
            <w:pPr>
              <w:jc w:val="center"/>
            </w:pPr>
            <w:r>
              <w:rPr>
                <w:rFonts w:hint="eastAsia"/>
                <w:snapToGrid w:val="0"/>
                <w:kern w:val="21"/>
                <w:szCs w:val="21"/>
              </w:rPr>
              <w:t>0</w:t>
            </w:r>
          </w:p>
        </w:tc>
        <w:tc>
          <w:tcPr>
            <w:tcW w:w="1701" w:type="dxa"/>
            <w:noWrap w:val="0"/>
            <w:vAlign w:val="center"/>
          </w:tcPr>
          <w:p>
            <w:pPr>
              <w:jc w:val="center"/>
              <w:rPr>
                <w:snapToGrid w:val="0"/>
                <w:kern w:val="21"/>
                <w:szCs w:val="21"/>
              </w:rPr>
            </w:pPr>
            <w:r>
              <w:rPr>
                <w:rFonts w:hint="eastAsia"/>
                <w:snapToGrid w:val="0"/>
                <w:kern w:val="21"/>
                <w:szCs w:val="21"/>
              </w:rPr>
              <w:t>0</w:t>
            </w:r>
          </w:p>
        </w:tc>
        <w:tc>
          <w:tcPr>
            <w:tcW w:w="1559" w:type="dxa"/>
            <w:noWrap w:val="0"/>
            <w:vAlign w:val="center"/>
          </w:tcPr>
          <w:p>
            <w:pPr>
              <w:widowControl/>
              <w:jc w:val="center"/>
              <w:textAlignment w:val="center"/>
              <w:rPr>
                <w:rFonts w:hint="default" w:eastAsia="宋体"/>
                <w:lang w:val="en-US" w:eastAsia="zh-CN"/>
              </w:rPr>
            </w:pPr>
            <w:r>
              <w:rPr>
                <w:rFonts w:hint="eastAsia"/>
                <w:kern w:val="0"/>
                <w:szCs w:val="21"/>
                <w:lang w:val="en-US" w:eastAsia="zh-CN" w:bidi="ar"/>
              </w:rPr>
              <w:t>381.9</w:t>
            </w:r>
          </w:p>
        </w:tc>
        <w:tc>
          <w:tcPr>
            <w:tcW w:w="1761" w:type="dxa"/>
            <w:noWrap w:val="0"/>
            <w:vAlign w:val="center"/>
          </w:tcPr>
          <w:p>
            <w:pPr>
              <w:pStyle w:val="39"/>
              <w:spacing w:beforeLines="0" w:afterLines="0" w:line="240" w:lineRule="auto"/>
              <w:rPr>
                <w:rFonts w:ascii="Times New Roman" w:hAnsi="Times New Roman" w:eastAsia="宋体"/>
                <w:snapToGrid w:val="0"/>
                <w:kern w:val="21"/>
                <w:szCs w:val="21"/>
              </w:rPr>
            </w:pPr>
            <w:r>
              <w:rPr>
                <w:rFonts w:ascii="Times New Roman" w:hAnsi="Times New Roman" w:eastAsia="宋体"/>
                <w:snapToGrid w:val="0"/>
                <w:kern w:val="21"/>
                <w:szCs w:val="21"/>
              </w:rPr>
              <w:t>0</w:t>
            </w:r>
          </w:p>
        </w:tc>
        <w:tc>
          <w:tcPr>
            <w:tcW w:w="1599" w:type="dxa"/>
            <w:noWrap w:val="0"/>
            <w:vAlign w:val="center"/>
          </w:tcPr>
          <w:p>
            <w:pPr>
              <w:widowControl/>
              <w:jc w:val="center"/>
              <w:textAlignment w:val="center"/>
              <w:rPr>
                <w:rFonts w:hint="default" w:eastAsia="宋体"/>
                <w:lang w:val="en-US" w:eastAsia="zh-CN"/>
              </w:rPr>
            </w:pPr>
            <w:r>
              <w:rPr>
                <w:rFonts w:hint="eastAsia"/>
                <w:kern w:val="0"/>
                <w:szCs w:val="21"/>
                <w:lang w:val="en-US" w:eastAsia="zh-CN" w:bidi="ar"/>
              </w:rPr>
              <w:t>381.9</w:t>
            </w:r>
          </w:p>
        </w:tc>
        <w:tc>
          <w:tcPr>
            <w:tcW w:w="1186" w:type="dxa"/>
            <w:noWrap w:val="0"/>
            <w:vAlign w:val="center"/>
          </w:tcPr>
          <w:p>
            <w:pPr>
              <w:widowControl/>
              <w:jc w:val="center"/>
              <w:textAlignment w:val="center"/>
              <w:rPr>
                <w:rFonts w:hint="default" w:eastAsia="宋体"/>
                <w:lang w:val="en-US" w:eastAsia="zh-CN"/>
              </w:rPr>
            </w:pPr>
            <w:r>
              <w:rPr>
                <w:rFonts w:hint="eastAsia"/>
                <w:kern w:val="0"/>
                <w:szCs w:val="21"/>
                <w:lang w:bidi="ar"/>
              </w:rPr>
              <w:t>+381.9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0" w:type="dxa"/>
            <w:vMerge w:val="continue"/>
            <w:noWrap w:val="0"/>
            <w:vAlign w:val="center"/>
          </w:tcPr>
          <w:p>
            <w:pPr>
              <w:pStyle w:val="39"/>
              <w:spacing w:beforeLines="0" w:afterLines="0" w:line="240" w:lineRule="auto"/>
              <w:rPr>
                <w:rFonts w:ascii="Times New Roman" w:hAnsi="Times New Roman" w:eastAsia="宋体"/>
                <w:snapToGrid w:val="0"/>
                <w:kern w:val="21"/>
                <w:szCs w:val="21"/>
              </w:rPr>
            </w:pPr>
          </w:p>
        </w:tc>
        <w:tc>
          <w:tcPr>
            <w:tcW w:w="1545" w:type="dxa"/>
            <w:noWrap w:val="0"/>
            <w:vAlign w:val="center"/>
          </w:tcPr>
          <w:p>
            <w:pPr>
              <w:pStyle w:val="48"/>
              <w:rPr>
                <w:rFonts w:eastAsia="宋体"/>
              </w:rPr>
            </w:pPr>
            <w:r>
              <w:rPr>
                <w:rFonts w:eastAsia="宋体"/>
              </w:rPr>
              <w:t>COD</w:t>
            </w:r>
          </w:p>
        </w:tc>
        <w:tc>
          <w:tcPr>
            <w:tcW w:w="1701" w:type="dxa"/>
            <w:noWrap w:val="0"/>
            <w:vAlign w:val="center"/>
          </w:tcPr>
          <w:p>
            <w:pPr>
              <w:jc w:val="center"/>
            </w:pPr>
            <w:r>
              <w:rPr>
                <w:rFonts w:hint="eastAsia"/>
                <w:snapToGrid w:val="0"/>
                <w:kern w:val="21"/>
                <w:szCs w:val="21"/>
              </w:rPr>
              <w:t>0</w:t>
            </w:r>
          </w:p>
        </w:tc>
        <w:tc>
          <w:tcPr>
            <w:tcW w:w="1276" w:type="dxa"/>
            <w:noWrap w:val="0"/>
            <w:vAlign w:val="center"/>
          </w:tcPr>
          <w:p>
            <w:pPr>
              <w:jc w:val="center"/>
            </w:pPr>
            <w:r>
              <w:rPr>
                <w:rFonts w:hint="eastAsia"/>
                <w:snapToGrid w:val="0"/>
                <w:kern w:val="21"/>
                <w:szCs w:val="21"/>
              </w:rPr>
              <w:t>0</w:t>
            </w:r>
          </w:p>
        </w:tc>
        <w:tc>
          <w:tcPr>
            <w:tcW w:w="1701" w:type="dxa"/>
            <w:noWrap w:val="0"/>
            <w:vAlign w:val="center"/>
          </w:tcPr>
          <w:p>
            <w:pPr>
              <w:jc w:val="center"/>
              <w:rPr>
                <w:snapToGrid w:val="0"/>
                <w:kern w:val="21"/>
                <w:szCs w:val="21"/>
              </w:rPr>
            </w:pPr>
            <w:r>
              <w:rPr>
                <w:rFonts w:hint="eastAsia"/>
                <w:snapToGrid w:val="0"/>
                <w:kern w:val="21"/>
                <w:szCs w:val="21"/>
              </w:rPr>
              <w:t>0</w:t>
            </w:r>
          </w:p>
        </w:tc>
        <w:tc>
          <w:tcPr>
            <w:tcW w:w="1559" w:type="dxa"/>
            <w:noWrap w:val="0"/>
            <w:vAlign w:val="center"/>
          </w:tcPr>
          <w:p>
            <w:pPr>
              <w:widowControl/>
              <w:jc w:val="center"/>
              <w:textAlignment w:val="center"/>
              <w:rPr>
                <w:rFonts w:hint="default"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0.1198</w:t>
            </w:r>
          </w:p>
        </w:tc>
        <w:tc>
          <w:tcPr>
            <w:tcW w:w="1761" w:type="dxa"/>
            <w:noWrap w:val="0"/>
            <w:vAlign w:val="center"/>
          </w:tcPr>
          <w:p>
            <w:pPr>
              <w:pStyle w:val="39"/>
              <w:spacing w:beforeLines="0" w:afterLines="0" w:line="240" w:lineRule="auto"/>
              <w:rPr>
                <w:rFonts w:ascii="Times New Roman" w:hAnsi="Times New Roman" w:eastAsia="宋体"/>
                <w:snapToGrid w:val="0"/>
                <w:kern w:val="21"/>
                <w:szCs w:val="21"/>
              </w:rPr>
            </w:pPr>
            <w:r>
              <w:rPr>
                <w:rFonts w:ascii="Times New Roman" w:hAnsi="Times New Roman" w:eastAsia="宋体"/>
                <w:snapToGrid w:val="0"/>
                <w:kern w:val="21"/>
                <w:szCs w:val="21"/>
              </w:rPr>
              <w:t>0</w:t>
            </w:r>
          </w:p>
        </w:tc>
        <w:tc>
          <w:tcPr>
            <w:tcW w:w="1599"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0.0191</w:t>
            </w:r>
          </w:p>
        </w:tc>
        <w:tc>
          <w:tcPr>
            <w:tcW w:w="1186" w:type="dxa"/>
            <w:noWrap w:val="0"/>
            <w:vAlign w:val="center"/>
          </w:tcPr>
          <w:p>
            <w:pPr>
              <w:widowControl/>
              <w:jc w:val="center"/>
              <w:textAlignment w:val="center"/>
              <w:rPr>
                <w:rFonts w:hint="default"/>
                <w:lang w:val="en-US"/>
              </w:rPr>
            </w:pPr>
            <w:r>
              <w:rPr>
                <w:rFonts w:hint="eastAsia"/>
                <w:kern w:val="0"/>
                <w:szCs w:val="21"/>
                <w:lang w:bidi="ar"/>
              </w:rPr>
              <w:t>+</w:t>
            </w:r>
            <w:r>
              <w:rPr>
                <w:rFonts w:hint="eastAsia"/>
                <w:kern w:val="0"/>
                <w:szCs w:val="21"/>
                <w:lang w:val="en-US" w:eastAsia="zh-CN" w:bidi="ar"/>
              </w:rPr>
              <w:t>0.1198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0" w:type="dxa"/>
            <w:vMerge w:val="continue"/>
            <w:noWrap w:val="0"/>
            <w:vAlign w:val="center"/>
          </w:tcPr>
          <w:p>
            <w:pPr>
              <w:pStyle w:val="39"/>
              <w:spacing w:beforeLines="0" w:afterLines="0" w:line="240" w:lineRule="auto"/>
              <w:rPr>
                <w:rFonts w:ascii="Times New Roman" w:hAnsi="Times New Roman" w:eastAsia="宋体"/>
                <w:snapToGrid w:val="0"/>
                <w:kern w:val="21"/>
                <w:szCs w:val="21"/>
              </w:rPr>
            </w:pPr>
          </w:p>
        </w:tc>
        <w:tc>
          <w:tcPr>
            <w:tcW w:w="1545" w:type="dxa"/>
            <w:noWrap w:val="0"/>
            <w:vAlign w:val="center"/>
          </w:tcPr>
          <w:p>
            <w:pPr>
              <w:pStyle w:val="48"/>
              <w:rPr>
                <w:rFonts w:eastAsia="宋体"/>
              </w:rPr>
            </w:pPr>
            <w:r>
              <w:rPr>
                <w:rFonts w:eastAsia="宋体"/>
              </w:rPr>
              <w:t>SS</w:t>
            </w:r>
          </w:p>
        </w:tc>
        <w:tc>
          <w:tcPr>
            <w:tcW w:w="1701" w:type="dxa"/>
            <w:noWrap w:val="0"/>
            <w:vAlign w:val="center"/>
          </w:tcPr>
          <w:p>
            <w:pPr>
              <w:jc w:val="center"/>
            </w:pPr>
            <w:r>
              <w:rPr>
                <w:rFonts w:hint="eastAsia"/>
                <w:snapToGrid w:val="0"/>
                <w:kern w:val="21"/>
                <w:szCs w:val="21"/>
              </w:rPr>
              <w:t>0</w:t>
            </w:r>
          </w:p>
        </w:tc>
        <w:tc>
          <w:tcPr>
            <w:tcW w:w="1276" w:type="dxa"/>
            <w:noWrap w:val="0"/>
            <w:vAlign w:val="center"/>
          </w:tcPr>
          <w:p>
            <w:pPr>
              <w:jc w:val="center"/>
            </w:pPr>
            <w:r>
              <w:rPr>
                <w:rFonts w:hint="eastAsia"/>
                <w:snapToGrid w:val="0"/>
                <w:kern w:val="21"/>
                <w:szCs w:val="21"/>
              </w:rPr>
              <w:t>0</w:t>
            </w:r>
          </w:p>
        </w:tc>
        <w:tc>
          <w:tcPr>
            <w:tcW w:w="1701" w:type="dxa"/>
            <w:noWrap w:val="0"/>
            <w:vAlign w:val="center"/>
          </w:tcPr>
          <w:p>
            <w:pPr>
              <w:jc w:val="center"/>
              <w:rPr>
                <w:snapToGrid w:val="0"/>
                <w:kern w:val="21"/>
                <w:szCs w:val="21"/>
              </w:rPr>
            </w:pPr>
            <w:r>
              <w:rPr>
                <w:rFonts w:hint="eastAsia"/>
                <w:snapToGrid w:val="0"/>
                <w:kern w:val="21"/>
                <w:szCs w:val="21"/>
              </w:rPr>
              <w:t>0</w:t>
            </w:r>
          </w:p>
        </w:tc>
        <w:tc>
          <w:tcPr>
            <w:tcW w:w="1559" w:type="dxa"/>
            <w:noWrap w:val="0"/>
            <w:vAlign w:val="center"/>
          </w:tcPr>
          <w:p>
            <w:pPr>
              <w:widowControl/>
              <w:jc w:val="center"/>
              <w:textAlignment w:val="center"/>
              <w:rPr>
                <w:rFonts w:hint="default"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0.1011</w:t>
            </w:r>
          </w:p>
        </w:tc>
        <w:tc>
          <w:tcPr>
            <w:tcW w:w="1761" w:type="dxa"/>
            <w:noWrap w:val="0"/>
            <w:vAlign w:val="center"/>
          </w:tcPr>
          <w:p>
            <w:pPr>
              <w:pStyle w:val="39"/>
              <w:spacing w:beforeLines="0" w:afterLines="0" w:line="240" w:lineRule="auto"/>
              <w:rPr>
                <w:rFonts w:ascii="Times New Roman" w:hAnsi="Times New Roman" w:eastAsia="宋体"/>
                <w:snapToGrid w:val="0"/>
                <w:kern w:val="21"/>
                <w:szCs w:val="21"/>
              </w:rPr>
            </w:pPr>
            <w:r>
              <w:rPr>
                <w:rFonts w:ascii="Times New Roman" w:hAnsi="Times New Roman" w:eastAsia="宋体"/>
                <w:snapToGrid w:val="0"/>
                <w:kern w:val="21"/>
                <w:szCs w:val="21"/>
              </w:rPr>
              <w:t>0</w:t>
            </w:r>
          </w:p>
        </w:tc>
        <w:tc>
          <w:tcPr>
            <w:tcW w:w="1599"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0.0038</w:t>
            </w:r>
          </w:p>
        </w:tc>
        <w:tc>
          <w:tcPr>
            <w:tcW w:w="1186" w:type="dxa"/>
            <w:noWrap w:val="0"/>
            <w:vAlign w:val="center"/>
          </w:tcPr>
          <w:p>
            <w:pPr>
              <w:widowControl/>
              <w:jc w:val="center"/>
              <w:textAlignment w:val="center"/>
              <w:rPr>
                <w:rFonts w:hint="default"/>
                <w:lang w:val="en-US"/>
              </w:rPr>
            </w:pPr>
            <w:r>
              <w:rPr>
                <w:rFonts w:hint="eastAsia"/>
                <w:kern w:val="0"/>
                <w:szCs w:val="21"/>
                <w:lang w:bidi="ar"/>
              </w:rPr>
              <w:t>+</w:t>
            </w:r>
            <w:r>
              <w:rPr>
                <w:rFonts w:hint="eastAsia"/>
                <w:kern w:val="0"/>
                <w:szCs w:val="21"/>
                <w:lang w:val="en-US" w:eastAsia="zh-CN" w:bidi="ar"/>
              </w:rPr>
              <w:t>0.1011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0" w:type="dxa"/>
            <w:vMerge w:val="continue"/>
            <w:noWrap w:val="0"/>
            <w:vAlign w:val="center"/>
          </w:tcPr>
          <w:p>
            <w:pPr>
              <w:pStyle w:val="39"/>
              <w:spacing w:beforeLines="0" w:afterLines="0" w:line="240" w:lineRule="auto"/>
              <w:rPr>
                <w:rFonts w:ascii="Times New Roman" w:hAnsi="Times New Roman" w:eastAsia="宋体"/>
                <w:snapToGrid w:val="0"/>
                <w:kern w:val="21"/>
                <w:szCs w:val="21"/>
              </w:rPr>
            </w:pPr>
          </w:p>
        </w:tc>
        <w:tc>
          <w:tcPr>
            <w:tcW w:w="1545" w:type="dxa"/>
            <w:noWrap w:val="0"/>
            <w:vAlign w:val="center"/>
          </w:tcPr>
          <w:p>
            <w:pPr>
              <w:pStyle w:val="48"/>
              <w:rPr>
                <w:rFonts w:eastAsia="宋体"/>
              </w:rPr>
            </w:pPr>
            <w:r>
              <w:rPr>
                <w:rFonts w:eastAsia="宋体"/>
              </w:rPr>
              <w:t>氨氮</w:t>
            </w:r>
          </w:p>
        </w:tc>
        <w:tc>
          <w:tcPr>
            <w:tcW w:w="1701" w:type="dxa"/>
            <w:noWrap w:val="0"/>
            <w:vAlign w:val="center"/>
          </w:tcPr>
          <w:p>
            <w:pPr>
              <w:jc w:val="center"/>
            </w:pPr>
            <w:r>
              <w:rPr>
                <w:rFonts w:hint="eastAsia"/>
                <w:snapToGrid w:val="0"/>
                <w:kern w:val="21"/>
                <w:szCs w:val="21"/>
              </w:rPr>
              <w:t>0</w:t>
            </w:r>
          </w:p>
        </w:tc>
        <w:tc>
          <w:tcPr>
            <w:tcW w:w="1276" w:type="dxa"/>
            <w:noWrap w:val="0"/>
            <w:vAlign w:val="center"/>
          </w:tcPr>
          <w:p>
            <w:pPr>
              <w:jc w:val="center"/>
            </w:pPr>
            <w:r>
              <w:rPr>
                <w:rFonts w:hint="eastAsia"/>
                <w:snapToGrid w:val="0"/>
                <w:kern w:val="21"/>
                <w:szCs w:val="21"/>
              </w:rPr>
              <w:t>0</w:t>
            </w:r>
          </w:p>
        </w:tc>
        <w:tc>
          <w:tcPr>
            <w:tcW w:w="1701" w:type="dxa"/>
            <w:noWrap w:val="0"/>
            <w:vAlign w:val="center"/>
          </w:tcPr>
          <w:p>
            <w:pPr>
              <w:jc w:val="center"/>
              <w:rPr>
                <w:snapToGrid w:val="0"/>
                <w:kern w:val="21"/>
                <w:szCs w:val="21"/>
              </w:rPr>
            </w:pPr>
            <w:r>
              <w:rPr>
                <w:rFonts w:hint="eastAsia"/>
                <w:snapToGrid w:val="0"/>
                <w:kern w:val="21"/>
                <w:szCs w:val="21"/>
              </w:rPr>
              <w:t>0</w:t>
            </w:r>
          </w:p>
        </w:tc>
        <w:tc>
          <w:tcPr>
            <w:tcW w:w="1559" w:type="dxa"/>
            <w:noWrap w:val="0"/>
            <w:vAlign w:val="center"/>
          </w:tcPr>
          <w:p>
            <w:pPr>
              <w:widowControl/>
              <w:jc w:val="center"/>
              <w:textAlignment w:val="center"/>
              <w:rPr>
                <w:rFonts w:hint="default"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0.009</w:t>
            </w:r>
          </w:p>
        </w:tc>
        <w:tc>
          <w:tcPr>
            <w:tcW w:w="1761" w:type="dxa"/>
            <w:noWrap w:val="0"/>
            <w:vAlign w:val="center"/>
          </w:tcPr>
          <w:p>
            <w:pPr>
              <w:pStyle w:val="39"/>
              <w:spacing w:beforeLines="0" w:afterLines="0" w:line="240" w:lineRule="auto"/>
              <w:rPr>
                <w:rFonts w:ascii="Times New Roman" w:hAnsi="Times New Roman" w:eastAsia="宋体"/>
                <w:snapToGrid w:val="0"/>
                <w:kern w:val="21"/>
                <w:szCs w:val="21"/>
              </w:rPr>
            </w:pPr>
            <w:r>
              <w:rPr>
                <w:rFonts w:ascii="Times New Roman" w:hAnsi="Times New Roman" w:eastAsia="宋体"/>
                <w:snapToGrid w:val="0"/>
                <w:kern w:val="21"/>
                <w:szCs w:val="21"/>
              </w:rPr>
              <w:t>0</w:t>
            </w:r>
          </w:p>
        </w:tc>
        <w:tc>
          <w:tcPr>
            <w:tcW w:w="1599"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0.0015</w:t>
            </w:r>
          </w:p>
        </w:tc>
        <w:tc>
          <w:tcPr>
            <w:tcW w:w="1186" w:type="dxa"/>
            <w:noWrap w:val="0"/>
            <w:vAlign w:val="center"/>
          </w:tcPr>
          <w:p>
            <w:pPr>
              <w:widowControl/>
              <w:jc w:val="center"/>
              <w:textAlignment w:val="center"/>
              <w:rPr>
                <w:rFonts w:hint="default"/>
                <w:lang w:val="en-US"/>
              </w:rPr>
            </w:pPr>
            <w:r>
              <w:rPr>
                <w:rFonts w:hint="eastAsia"/>
                <w:kern w:val="0"/>
                <w:szCs w:val="21"/>
                <w:lang w:bidi="ar"/>
              </w:rPr>
              <w:t>+</w:t>
            </w:r>
            <w:r>
              <w:rPr>
                <w:rFonts w:hint="eastAsia"/>
                <w:kern w:val="0"/>
                <w:szCs w:val="21"/>
                <w:lang w:val="en-US" w:eastAsia="zh-CN" w:bidi="ar"/>
              </w:rPr>
              <w:t>0.009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0" w:type="dxa"/>
            <w:vMerge w:val="continue"/>
            <w:noWrap w:val="0"/>
            <w:vAlign w:val="center"/>
          </w:tcPr>
          <w:p>
            <w:pPr>
              <w:pStyle w:val="39"/>
              <w:spacing w:beforeLines="0" w:afterLines="0" w:line="240" w:lineRule="auto"/>
              <w:rPr>
                <w:rFonts w:ascii="Times New Roman" w:hAnsi="Times New Roman" w:eastAsia="宋体"/>
                <w:snapToGrid w:val="0"/>
                <w:kern w:val="21"/>
                <w:szCs w:val="21"/>
              </w:rPr>
            </w:pPr>
          </w:p>
        </w:tc>
        <w:tc>
          <w:tcPr>
            <w:tcW w:w="1545" w:type="dxa"/>
            <w:noWrap w:val="0"/>
            <w:vAlign w:val="center"/>
          </w:tcPr>
          <w:p>
            <w:pPr>
              <w:pStyle w:val="48"/>
              <w:rPr>
                <w:rFonts w:eastAsia="宋体"/>
              </w:rPr>
            </w:pPr>
            <w:r>
              <w:rPr>
                <w:rFonts w:eastAsia="宋体"/>
              </w:rPr>
              <w:t>TP</w:t>
            </w:r>
          </w:p>
        </w:tc>
        <w:tc>
          <w:tcPr>
            <w:tcW w:w="1701" w:type="dxa"/>
            <w:noWrap w:val="0"/>
            <w:vAlign w:val="center"/>
          </w:tcPr>
          <w:p>
            <w:pPr>
              <w:jc w:val="center"/>
            </w:pPr>
            <w:r>
              <w:rPr>
                <w:rFonts w:hint="eastAsia"/>
                <w:snapToGrid w:val="0"/>
                <w:kern w:val="21"/>
                <w:szCs w:val="21"/>
              </w:rPr>
              <w:t>0</w:t>
            </w:r>
          </w:p>
        </w:tc>
        <w:tc>
          <w:tcPr>
            <w:tcW w:w="1276" w:type="dxa"/>
            <w:noWrap w:val="0"/>
            <w:vAlign w:val="center"/>
          </w:tcPr>
          <w:p>
            <w:pPr>
              <w:jc w:val="center"/>
            </w:pPr>
            <w:r>
              <w:rPr>
                <w:rFonts w:hint="eastAsia"/>
                <w:snapToGrid w:val="0"/>
                <w:kern w:val="21"/>
                <w:szCs w:val="21"/>
              </w:rPr>
              <w:t>0</w:t>
            </w:r>
          </w:p>
        </w:tc>
        <w:tc>
          <w:tcPr>
            <w:tcW w:w="1701" w:type="dxa"/>
            <w:noWrap w:val="0"/>
            <w:vAlign w:val="center"/>
          </w:tcPr>
          <w:p>
            <w:pPr>
              <w:jc w:val="center"/>
              <w:rPr>
                <w:snapToGrid w:val="0"/>
                <w:kern w:val="21"/>
                <w:szCs w:val="21"/>
              </w:rPr>
            </w:pPr>
            <w:r>
              <w:rPr>
                <w:rFonts w:hint="eastAsia"/>
                <w:snapToGrid w:val="0"/>
                <w:kern w:val="21"/>
                <w:szCs w:val="21"/>
              </w:rPr>
              <w:t>0</w:t>
            </w:r>
          </w:p>
        </w:tc>
        <w:tc>
          <w:tcPr>
            <w:tcW w:w="1559" w:type="dxa"/>
            <w:noWrap w:val="0"/>
            <w:vAlign w:val="center"/>
          </w:tcPr>
          <w:p>
            <w:pPr>
              <w:widowControl/>
              <w:jc w:val="center"/>
              <w:textAlignment w:val="center"/>
              <w:rPr>
                <w:rFonts w:hint="default"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0.0009</w:t>
            </w:r>
          </w:p>
        </w:tc>
        <w:tc>
          <w:tcPr>
            <w:tcW w:w="1761" w:type="dxa"/>
            <w:noWrap w:val="0"/>
            <w:vAlign w:val="center"/>
          </w:tcPr>
          <w:p>
            <w:pPr>
              <w:pStyle w:val="39"/>
              <w:spacing w:beforeLines="0" w:afterLines="0" w:line="240" w:lineRule="auto"/>
              <w:rPr>
                <w:rFonts w:ascii="Times New Roman" w:hAnsi="Times New Roman" w:eastAsia="宋体"/>
                <w:snapToGrid w:val="0"/>
                <w:kern w:val="21"/>
                <w:szCs w:val="21"/>
              </w:rPr>
            </w:pPr>
            <w:r>
              <w:rPr>
                <w:rFonts w:ascii="Times New Roman" w:hAnsi="Times New Roman" w:eastAsia="宋体"/>
                <w:snapToGrid w:val="0"/>
                <w:kern w:val="21"/>
                <w:szCs w:val="21"/>
              </w:rPr>
              <w:t>0</w:t>
            </w:r>
          </w:p>
        </w:tc>
        <w:tc>
          <w:tcPr>
            <w:tcW w:w="1599"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0.0002</w:t>
            </w:r>
          </w:p>
        </w:tc>
        <w:tc>
          <w:tcPr>
            <w:tcW w:w="1186" w:type="dxa"/>
            <w:noWrap w:val="0"/>
            <w:vAlign w:val="center"/>
          </w:tcPr>
          <w:p>
            <w:pPr>
              <w:widowControl/>
              <w:jc w:val="center"/>
              <w:textAlignment w:val="center"/>
            </w:pPr>
            <w:r>
              <w:rPr>
                <w:rFonts w:hint="eastAsia"/>
                <w:kern w:val="0"/>
                <w:szCs w:val="21"/>
                <w:lang w:bidi="ar"/>
              </w:rPr>
              <w:t>+</w:t>
            </w:r>
            <w:r>
              <w:rPr>
                <w:rFonts w:hint="eastAsia"/>
                <w:kern w:val="0"/>
                <w:szCs w:val="21"/>
                <w:lang w:val="en-US" w:eastAsia="zh-CN" w:bidi="ar"/>
              </w:rPr>
              <w:t>0.0009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0" w:type="dxa"/>
            <w:vMerge w:val="continue"/>
            <w:noWrap w:val="0"/>
            <w:vAlign w:val="center"/>
          </w:tcPr>
          <w:p>
            <w:pPr>
              <w:pStyle w:val="39"/>
              <w:spacing w:beforeLines="0" w:afterLines="0" w:line="240" w:lineRule="auto"/>
              <w:rPr>
                <w:rFonts w:ascii="Times New Roman" w:hAnsi="Times New Roman" w:eastAsia="宋体"/>
                <w:snapToGrid w:val="0"/>
                <w:kern w:val="21"/>
                <w:szCs w:val="21"/>
              </w:rPr>
            </w:pPr>
          </w:p>
        </w:tc>
        <w:tc>
          <w:tcPr>
            <w:tcW w:w="1545" w:type="dxa"/>
            <w:noWrap w:val="0"/>
            <w:vAlign w:val="center"/>
          </w:tcPr>
          <w:p>
            <w:pPr>
              <w:pStyle w:val="48"/>
              <w:rPr>
                <w:rFonts w:eastAsia="宋体"/>
              </w:rPr>
            </w:pPr>
            <w:r>
              <w:rPr>
                <w:rFonts w:eastAsia="宋体"/>
              </w:rPr>
              <w:t>TN</w:t>
            </w:r>
          </w:p>
        </w:tc>
        <w:tc>
          <w:tcPr>
            <w:tcW w:w="1701" w:type="dxa"/>
            <w:noWrap w:val="0"/>
            <w:vAlign w:val="center"/>
          </w:tcPr>
          <w:p>
            <w:pPr>
              <w:jc w:val="center"/>
            </w:pPr>
            <w:r>
              <w:rPr>
                <w:rFonts w:hint="eastAsia"/>
                <w:snapToGrid w:val="0"/>
                <w:kern w:val="21"/>
                <w:szCs w:val="21"/>
              </w:rPr>
              <w:t>0</w:t>
            </w:r>
          </w:p>
        </w:tc>
        <w:tc>
          <w:tcPr>
            <w:tcW w:w="1276" w:type="dxa"/>
            <w:noWrap w:val="0"/>
            <w:vAlign w:val="center"/>
          </w:tcPr>
          <w:p>
            <w:pPr>
              <w:jc w:val="center"/>
            </w:pPr>
            <w:r>
              <w:rPr>
                <w:rFonts w:hint="eastAsia"/>
                <w:snapToGrid w:val="0"/>
                <w:kern w:val="21"/>
                <w:szCs w:val="21"/>
              </w:rPr>
              <w:t>0</w:t>
            </w:r>
          </w:p>
        </w:tc>
        <w:tc>
          <w:tcPr>
            <w:tcW w:w="1701" w:type="dxa"/>
            <w:noWrap w:val="0"/>
            <w:vAlign w:val="center"/>
          </w:tcPr>
          <w:p>
            <w:pPr>
              <w:jc w:val="center"/>
              <w:rPr>
                <w:snapToGrid w:val="0"/>
                <w:kern w:val="21"/>
                <w:szCs w:val="21"/>
              </w:rPr>
            </w:pPr>
            <w:r>
              <w:rPr>
                <w:rFonts w:hint="eastAsia"/>
                <w:snapToGrid w:val="0"/>
                <w:kern w:val="21"/>
                <w:szCs w:val="21"/>
              </w:rPr>
              <w:t>0</w:t>
            </w:r>
          </w:p>
        </w:tc>
        <w:tc>
          <w:tcPr>
            <w:tcW w:w="1559"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0.015</w:t>
            </w:r>
          </w:p>
        </w:tc>
        <w:tc>
          <w:tcPr>
            <w:tcW w:w="1761" w:type="dxa"/>
            <w:noWrap w:val="0"/>
            <w:vAlign w:val="center"/>
          </w:tcPr>
          <w:p>
            <w:pPr>
              <w:pStyle w:val="39"/>
              <w:spacing w:beforeLines="0" w:afterLines="0" w:line="240" w:lineRule="auto"/>
              <w:rPr>
                <w:rFonts w:ascii="Times New Roman" w:hAnsi="Times New Roman" w:eastAsia="宋体"/>
                <w:snapToGrid w:val="0"/>
                <w:kern w:val="21"/>
                <w:szCs w:val="21"/>
              </w:rPr>
            </w:pPr>
            <w:r>
              <w:rPr>
                <w:rFonts w:ascii="Times New Roman" w:hAnsi="Times New Roman" w:eastAsia="宋体"/>
                <w:snapToGrid w:val="0"/>
                <w:kern w:val="21"/>
                <w:szCs w:val="21"/>
              </w:rPr>
              <w:t>0</w:t>
            </w:r>
          </w:p>
        </w:tc>
        <w:tc>
          <w:tcPr>
            <w:tcW w:w="1599" w:type="dxa"/>
            <w:noWrap w:val="0"/>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0.0046</w:t>
            </w:r>
          </w:p>
        </w:tc>
        <w:tc>
          <w:tcPr>
            <w:tcW w:w="1186" w:type="dxa"/>
            <w:noWrap w:val="0"/>
            <w:vAlign w:val="center"/>
          </w:tcPr>
          <w:p>
            <w:pPr>
              <w:widowControl/>
              <w:jc w:val="center"/>
              <w:textAlignment w:val="center"/>
            </w:pPr>
            <w:r>
              <w:rPr>
                <w:rFonts w:hint="eastAsia"/>
                <w:kern w:val="0"/>
                <w:szCs w:val="21"/>
                <w:lang w:bidi="ar"/>
              </w:rPr>
              <w:t>+0.01</w:t>
            </w:r>
            <w:r>
              <w:rPr>
                <w:rFonts w:hint="eastAsia"/>
                <w:kern w:val="0"/>
                <w:szCs w:val="21"/>
                <w:lang w:val="en-US" w:eastAsia="zh-CN" w:bidi="ar"/>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0" w:type="dxa"/>
            <w:vMerge w:val="restart"/>
            <w:noWrap w:val="0"/>
            <w:vAlign w:val="center"/>
          </w:tcPr>
          <w:p>
            <w:pPr>
              <w:pStyle w:val="39"/>
              <w:spacing w:beforeLines="0" w:afterLines="0" w:line="240" w:lineRule="auto"/>
              <w:rPr>
                <w:rFonts w:ascii="Times New Roman" w:hAnsi="Times New Roman" w:eastAsia="宋体"/>
                <w:snapToGrid w:val="0"/>
                <w:kern w:val="21"/>
                <w:szCs w:val="21"/>
              </w:rPr>
            </w:pPr>
            <w:r>
              <w:rPr>
                <w:rFonts w:ascii="Times New Roman" w:hAnsi="Times New Roman" w:eastAsia="宋体"/>
                <w:snapToGrid w:val="0"/>
                <w:kern w:val="21"/>
                <w:szCs w:val="21"/>
              </w:rPr>
              <w:t>一般工业</w:t>
            </w:r>
          </w:p>
          <w:p>
            <w:pPr>
              <w:pStyle w:val="39"/>
              <w:spacing w:beforeLines="0" w:afterLines="0" w:line="240" w:lineRule="auto"/>
              <w:rPr>
                <w:rFonts w:ascii="Times New Roman" w:hAnsi="Times New Roman" w:eastAsia="宋体"/>
                <w:snapToGrid w:val="0"/>
                <w:kern w:val="21"/>
                <w:szCs w:val="21"/>
              </w:rPr>
            </w:pPr>
            <w:r>
              <w:rPr>
                <w:rFonts w:ascii="Times New Roman" w:hAnsi="Times New Roman" w:eastAsia="宋体"/>
                <w:snapToGrid w:val="0"/>
                <w:kern w:val="21"/>
                <w:szCs w:val="21"/>
              </w:rPr>
              <w:t>固体废物</w:t>
            </w:r>
          </w:p>
        </w:tc>
        <w:tc>
          <w:tcPr>
            <w:tcW w:w="1545" w:type="dxa"/>
            <w:noWrap w:val="0"/>
            <w:vAlign w:val="center"/>
          </w:tcPr>
          <w:p>
            <w:pPr>
              <w:pStyle w:val="48"/>
              <w:adjustRightInd w:val="0"/>
              <w:snapToGrid w:val="0"/>
              <w:rPr>
                <w:rFonts w:eastAsia="宋体"/>
                <w:kern w:val="0"/>
              </w:rPr>
            </w:pPr>
            <w:r>
              <w:rPr>
                <w:rFonts w:hint="eastAsia" w:ascii="Times New Roman" w:hAnsi="Times New Roman" w:eastAsia="宋体" w:cs="Times New Roman"/>
                <w:lang w:val="en-US" w:eastAsia="zh-CN"/>
              </w:rPr>
              <w:t>生活垃圾</w:t>
            </w:r>
          </w:p>
        </w:tc>
        <w:tc>
          <w:tcPr>
            <w:tcW w:w="1701" w:type="dxa"/>
            <w:noWrap w:val="0"/>
            <w:vAlign w:val="center"/>
          </w:tcPr>
          <w:p>
            <w:pPr>
              <w:jc w:val="center"/>
              <w:rPr>
                <w:snapToGrid w:val="0"/>
                <w:kern w:val="21"/>
                <w:szCs w:val="21"/>
              </w:rPr>
            </w:pPr>
            <w:r>
              <w:rPr>
                <w:rFonts w:hint="eastAsia"/>
                <w:snapToGrid w:val="0"/>
                <w:kern w:val="21"/>
                <w:szCs w:val="21"/>
              </w:rPr>
              <w:t>0</w:t>
            </w:r>
          </w:p>
        </w:tc>
        <w:tc>
          <w:tcPr>
            <w:tcW w:w="1276" w:type="dxa"/>
            <w:noWrap w:val="0"/>
            <w:vAlign w:val="center"/>
          </w:tcPr>
          <w:p>
            <w:pPr>
              <w:jc w:val="center"/>
              <w:rPr>
                <w:snapToGrid w:val="0"/>
                <w:kern w:val="21"/>
                <w:szCs w:val="21"/>
              </w:rPr>
            </w:pPr>
            <w:r>
              <w:rPr>
                <w:rFonts w:hint="eastAsia"/>
                <w:snapToGrid w:val="0"/>
                <w:kern w:val="21"/>
                <w:szCs w:val="21"/>
              </w:rPr>
              <w:t>0</w:t>
            </w:r>
          </w:p>
        </w:tc>
        <w:tc>
          <w:tcPr>
            <w:tcW w:w="1701" w:type="dxa"/>
            <w:noWrap w:val="0"/>
            <w:vAlign w:val="center"/>
          </w:tcPr>
          <w:p>
            <w:pPr>
              <w:jc w:val="center"/>
              <w:rPr>
                <w:snapToGrid w:val="0"/>
                <w:kern w:val="21"/>
                <w:szCs w:val="21"/>
              </w:rPr>
            </w:pPr>
            <w:r>
              <w:rPr>
                <w:rFonts w:hint="eastAsia"/>
                <w:snapToGrid w:val="0"/>
                <w:kern w:val="21"/>
                <w:szCs w:val="21"/>
              </w:rPr>
              <w:t>0</w:t>
            </w:r>
          </w:p>
        </w:tc>
        <w:tc>
          <w:tcPr>
            <w:tcW w:w="1559" w:type="dxa"/>
            <w:noWrap w:val="0"/>
            <w:vAlign w:val="center"/>
          </w:tcPr>
          <w:p>
            <w:pPr>
              <w:pStyle w:val="48"/>
              <w:adjustRightInd w:val="0"/>
              <w:snapToGrid w:val="0"/>
              <w:rPr>
                <w:rFonts w:hint="eastAsia" w:eastAsia="宋体"/>
                <w:kern w:val="0"/>
              </w:rPr>
            </w:pPr>
            <w:r>
              <w:rPr>
                <w:rFonts w:hint="eastAsia" w:ascii="Times New Roman" w:hAnsi="Times New Roman" w:eastAsia="宋体" w:cs="Times New Roman"/>
                <w:lang w:val="en-US" w:eastAsia="zh-CN"/>
              </w:rPr>
              <w:t>3.75</w:t>
            </w:r>
          </w:p>
        </w:tc>
        <w:tc>
          <w:tcPr>
            <w:tcW w:w="1761" w:type="dxa"/>
            <w:noWrap w:val="0"/>
            <w:vAlign w:val="center"/>
          </w:tcPr>
          <w:p>
            <w:pPr>
              <w:jc w:val="center"/>
              <w:rPr>
                <w:snapToGrid w:val="0"/>
                <w:kern w:val="21"/>
                <w:szCs w:val="21"/>
              </w:rPr>
            </w:pPr>
            <w:r>
              <w:rPr>
                <w:snapToGrid w:val="0"/>
                <w:kern w:val="21"/>
                <w:szCs w:val="21"/>
              </w:rPr>
              <w:t>0</w:t>
            </w:r>
          </w:p>
        </w:tc>
        <w:tc>
          <w:tcPr>
            <w:tcW w:w="1599" w:type="dxa"/>
            <w:noWrap w:val="0"/>
            <w:vAlign w:val="center"/>
          </w:tcPr>
          <w:p>
            <w:pPr>
              <w:pStyle w:val="48"/>
              <w:adjustRightInd w:val="0"/>
              <w:snapToGrid w:val="0"/>
              <w:rPr>
                <w:rFonts w:hint="eastAsia" w:eastAsia="宋体"/>
                <w:snapToGrid w:val="0"/>
                <w:kern w:val="21"/>
              </w:rPr>
            </w:pPr>
            <w:r>
              <w:rPr>
                <w:rFonts w:hint="eastAsia" w:ascii="Times New Roman" w:hAnsi="Times New Roman" w:eastAsia="宋体" w:cs="Times New Roman"/>
                <w:lang w:val="en-US" w:eastAsia="zh-CN"/>
              </w:rPr>
              <w:t>3.75</w:t>
            </w:r>
          </w:p>
        </w:tc>
        <w:tc>
          <w:tcPr>
            <w:tcW w:w="1186" w:type="dxa"/>
            <w:noWrap w:val="0"/>
            <w:vAlign w:val="center"/>
          </w:tcPr>
          <w:p>
            <w:pPr>
              <w:pStyle w:val="48"/>
              <w:adjustRightInd w:val="0"/>
              <w:snapToGrid w:val="0"/>
              <w:rPr>
                <w:rFonts w:hint="eastAsia" w:eastAsia="宋体"/>
                <w:snapToGrid w:val="0"/>
                <w:kern w:val="21"/>
              </w:rPr>
            </w:pPr>
            <w:r>
              <w:rPr>
                <w:rFonts w:hint="eastAsia"/>
                <w:kern w:val="0"/>
                <w:szCs w:val="21"/>
                <w:lang w:bidi="ar"/>
              </w:rPr>
              <w:t>+</w:t>
            </w:r>
            <w:r>
              <w:rPr>
                <w:rFonts w:hint="eastAsia" w:ascii="Times New Roman" w:hAnsi="Times New Roman" w:eastAsia="宋体" w:cs="Times New Roman"/>
                <w:lang w:val="en-US" w:eastAsia="zh-CN"/>
              </w:rPr>
              <w:t>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0" w:type="dxa"/>
            <w:vMerge w:val="continue"/>
            <w:noWrap w:val="0"/>
            <w:vAlign w:val="center"/>
          </w:tcPr>
          <w:p>
            <w:pPr>
              <w:pStyle w:val="39"/>
              <w:spacing w:beforeLines="0" w:afterLines="0" w:line="240" w:lineRule="auto"/>
              <w:rPr>
                <w:rFonts w:ascii="Times New Roman" w:hAnsi="Times New Roman" w:eastAsia="宋体"/>
                <w:snapToGrid w:val="0"/>
                <w:kern w:val="21"/>
                <w:szCs w:val="21"/>
              </w:rPr>
            </w:pPr>
          </w:p>
        </w:tc>
        <w:tc>
          <w:tcPr>
            <w:tcW w:w="1545" w:type="dxa"/>
            <w:noWrap w:val="0"/>
            <w:vAlign w:val="center"/>
          </w:tcPr>
          <w:p>
            <w:pPr>
              <w:pStyle w:val="48"/>
              <w:adjustRightInd w:val="0"/>
              <w:snapToGrid w:val="0"/>
              <w:rPr>
                <w:rFonts w:hint="eastAsia" w:eastAsia="宋体"/>
                <w:kern w:val="0"/>
              </w:rPr>
            </w:pPr>
            <w:r>
              <w:rPr>
                <w:rFonts w:hint="eastAsia" w:ascii="Times New Roman" w:hAnsi="Times New Roman" w:eastAsia="宋体" w:cs="Times New Roman"/>
                <w:lang w:val="en-US" w:eastAsia="zh-CN"/>
              </w:rPr>
              <w:t>废料</w:t>
            </w:r>
          </w:p>
        </w:tc>
        <w:tc>
          <w:tcPr>
            <w:tcW w:w="1701" w:type="dxa"/>
            <w:noWrap w:val="0"/>
            <w:vAlign w:val="center"/>
          </w:tcPr>
          <w:p>
            <w:pPr>
              <w:jc w:val="center"/>
              <w:rPr>
                <w:rFonts w:hint="eastAsia"/>
                <w:snapToGrid w:val="0"/>
                <w:kern w:val="21"/>
                <w:szCs w:val="21"/>
              </w:rPr>
            </w:pPr>
            <w:r>
              <w:rPr>
                <w:rFonts w:hint="eastAsia"/>
                <w:snapToGrid w:val="0"/>
                <w:kern w:val="21"/>
                <w:szCs w:val="21"/>
              </w:rPr>
              <w:t>0</w:t>
            </w:r>
          </w:p>
        </w:tc>
        <w:tc>
          <w:tcPr>
            <w:tcW w:w="1276" w:type="dxa"/>
            <w:noWrap w:val="0"/>
            <w:vAlign w:val="center"/>
          </w:tcPr>
          <w:p>
            <w:pPr>
              <w:jc w:val="center"/>
              <w:rPr>
                <w:rFonts w:hint="eastAsia"/>
                <w:snapToGrid w:val="0"/>
                <w:kern w:val="21"/>
                <w:szCs w:val="21"/>
              </w:rPr>
            </w:pPr>
            <w:r>
              <w:rPr>
                <w:rFonts w:hint="eastAsia"/>
                <w:snapToGrid w:val="0"/>
                <w:kern w:val="21"/>
                <w:szCs w:val="21"/>
              </w:rPr>
              <w:t>0</w:t>
            </w:r>
          </w:p>
        </w:tc>
        <w:tc>
          <w:tcPr>
            <w:tcW w:w="1701" w:type="dxa"/>
            <w:noWrap w:val="0"/>
            <w:vAlign w:val="center"/>
          </w:tcPr>
          <w:p>
            <w:pPr>
              <w:jc w:val="center"/>
              <w:rPr>
                <w:rFonts w:hint="eastAsia"/>
                <w:snapToGrid w:val="0"/>
                <w:kern w:val="21"/>
                <w:szCs w:val="21"/>
              </w:rPr>
            </w:pPr>
            <w:r>
              <w:rPr>
                <w:rFonts w:hint="eastAsia"/>
                <w:snapToGrid w:val="0"/>
                <w:kern w:val="21"/>
                <w:szCs w:val="21"/>
              </w:rPr>
              <w:t>0</w:t>
            </w:r>
          </w:p>
        </w:tc>
        <w:tc>
          <w:tcPr>
            <w:tcW w:w="1559" w:type="dxa"/>
            <w:noWrap w:val="0"/>
            <w:vAlign w:val="center"/>
          </w:tcPr>
          <w:p>
            <w:pPr>
              <w:pStyle w:val="48"/>
              <w:adjustRightInd w:val="0"/>
              <w:snapToGrid w:val="0"/>
              <w:rPr>
                <w:rFonts w:hint="default" w:eastAsia="宋体"/>
                <w:kern w:val="0"/>
                <w:lang w:val="en-US" w:eastAsia="zh-CN"/>
              </w:rPr>
            </w:pPr>
            <w:r>
              <w:rPr>
                <w:rFonts w:hint="eastAsia" w:ascii="Times New Roman" w:hAnsi="Times New Roman" w:eastAsia="宋体" w:cs="Times New Roman"/>
                <w:lang w:val="en-US" w:eastAsia="zh-CN"/>
              </w:rPr>
              <w:t>0.03</w:t>
            </w:r>
          </w:p>
        </w:tc>
        <w:tc>
          <w:tcPr>
            <w:tcW w:w="1761" w:type="dxa"/>
            <w:noWrap w:val="0"/>
            <w:vAlign w:val="center"/>
          </w:tcPr>
          <w:p>
            <w:pPr>
              <w:jc w:val="center"/>
              <w:rPr>
                <w:rFonts w:hint="eastAsia"/>
                <w:snapToGrid w:val="0"/>
                <w:kern w:val="21"/>
                <w:szCs w:val="21"/>
              </w:rPr>
            </w:pPr>
            <w:r>
              <w:rPr>
                <w:rFonts w:hint="eastAsia"/>
                <w:snapToGrid w:val="0"/>
                <w:kern w:val="21"/>
                <w:szCs w:val="21"/>
              </w:rPr>
              <w:t>0</w:t>
            </w:r>
          </w:p>
        </w:tc>
        <w:tc>
          <w:tcPr>
            <w:tcW w:w="1599" w:type="dxa"/>
            <w:noWrap w:val="0"/>
            <w:vAlign w:val="center"/>
          </w:tcPr>
          <w:p>
            <w:pPr>
              <w:pStyle w:val="48"/>
              <w:adjustRightInd w:val="0"/>
              <w:snapToGrid w:val="0"/>
              <w:rPr>
                <w:rFonts w:hint="default" w:eastAsia="宋体"/>
                <w:kern w:val="0"/>
                <w:lang w:val="en-US" w:eastAsia="zh-CN"/>
              </w:rPr>
            </w:pPr>
            <w:r>
              <w:rPr>
                <w:rFonts w:hint="eastAsia" w:ascii="Times New Roman" w:hAnsi="Times New Roman" w:eastAsia="宋体" w:cs="Times New Roman"/>
                <w:lang w:val="en-US" w:eastAsia="zh-CN"/>
              </w:rPr>
              <w:t>0.03</w:t>
            </w:r>
          </w:p>
        </w:tc>
        <w:tc>
          <w:tcPr>
            <w:tcW w:w="1186" w:type="dxa"/>
            <w:noWrap w:val="0"/>
            <w:vAlign w:val="center"/>
          </w:tcPr>
          <w:p>
            <w:pPr>
              <w:pStyle w:val="48"/>
              <w:adjustRightInd w:val="0"/>
              <w:snapToGrid w:val="0"/>
              <w:rPr>
                <w:rFonts w:hint="default" w:eastAsia="宋体"/>
                <w:kern w:val="0"/>
                <w:lang w:val="en-US" w:eastAsia="zh-CN"/>
              </w:rPr>
            </w:pPr>
            <w:r>
              <w:rPr>
                <w:rFonts w:hint="eastAsia"/>
                <w:kern w:val="0"/>
                <w:szCs w:val="21"/>
                <w:lang w:bidi="ar"/>
              </w:rPr>
              <w:t>+</w:t>
            </w:r>
            <w:r>
              <w:rPr>
                <w:rFonts w:hint="eastAsia" w:ascii="Times New Roman" w:hAnsi="Times New Roman" w:eastAsia="宋体" w:cs="Times New Roman"/>
                <w:lang w:val="en-US" w:eastAsia="zh-CN"/>
              </w:rPr>
              <w:t>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0" w:type="dxa"/>
            <w:vMerge w:val="continue"/>
            <w:noWrap w:val="0"/>
            <w:vAlign w:val="center"/>
          </w:tcPr>
          <w:p>
            <w:pPr>
              <w:pStyle w:val="39"/>
              <w:spacing w:beforeLines="0" w:afterLines="0" w:line="240" w:lineRule="auto"/>
              <w:rPr>
                <w:rFonts w:ascii="Times New Roman" w:hAnsi="Times New Roman" w:eastAsia="宋体"/>
                <w:snapToGrid w:val="0"/>
                <w:kern w:val="21"/>
                <w:szCs w:val="21"/>
              </w:rPr>
            </w:pPr>
          </w:p>
        </w:tc>
        <w:tc>
          <w:tcPr>
            <w:tcW w:w="1545" w:type="dxa"/>
            <w:noWrap w:val="0"/>
            <w:vAlign w:val="center"/>
          </w:tcPr>
          <w:p>
            <w:pPr>
              <w:pStyle w:val="48"/>
              <w:adjustRightInd w:val="0"/>
              <w:snapToGrid w:val="0"/>
              <w:rPr>
                <w:rFonts w:hint="eastAsia" w:eastAsia="宋体"/>
                <w:kern w:val="0"/>
              </w:rPr>
            </w:pPr>
            <w:r>
              <w:rPr>
                <w:rFonts w:hint="eastAsia" w:ascii="Times New Roman" w:hAnsi="Times New Roman" w:eastAsia="宋体" w:cs="Times New Roman"/>
                <w:lang w:val="en-US" w:eastAsia="zh-CN"/>
              </w:rPr>
              <w:t>不合格品</w:t>
            </w:r>
          </w:p>
        </w:tc>
        <w:tc>
          <w:tcPr>
            <w:tcW w:w="1701" w:type="dxa"/>
            <w:noWrap w:val="0"/>
            <w:vAlign w:val="center"/>
          </w:tcPr>
          <w:p>
            <w:pPr>
              <w:jc w:val="center"/>
              <w:rPr>
                <w:rFonts w:hint="eastAsia"/>
                <w:snapToGrid w:val="0"/>
                <w:kern w:val="21"/>
                <w:szCs w:val="21"/>
              </w:rPr>
            </w:pPr>
            <w:r>
              <w:rPr>
                <w:rFonts w:hint="eastAsia"/>
                <w:snapToGrid w:val="0"/>
                <w:kern w:val="21"/>
                <w:szCs w:val="21"/>
              </w:rPr>
              <w:t>0</w:t>
            </w:r>
          </w:p>
        </w:tc>
        <w:tc>
          <w:tcPr>
            <w:tcW w:w="1276" w:type="dxa"/>
            <w:noWrap w:val="0"/>
            <w:vAlign w:val="center"/>
          </w:tcPr>
          <w:p>
            <w:pPr>
              <w:jc w:val="center"/>
              <w:rPr>
                <w:rFonts w:hint="eastAsia"/>
                <w:snapToGrid w:val="0"/>
                <w:kern w:val="21"/>
                <w:szCs w:val="21"/>
              </w:rPr>
            </w:pPr>
            <w:r>
              <w:rPr>
                <w:rFonts w:hint="eastAsia"/>
                <w:snapToGrid w:val="0"/>
                <w:kern w:val="21"/>
                <w:szCs w:val="21"/>
              </w:rPr>
              <w:t>0</w:t>
            </w:r>
          </w:p>
        </w:tc>
        <w:tc>
          <w:tcPr>
            <w:tcW w:w="1701" w:type="dxa"/>
            <w:noWrap w:val="0"/>
            <w:vAlign w:val="center"/>
          </w:tcPr>
          <w:p>
            <w:pPr>
              <w:jc w:val="center"/>
              <w:rPr>
                <w:rFonts w:hint="eastAsia"/>
                <w:snapToGrid w:val="0"/>
                <w:kern w:val="21"/>
                <w:szCs w:val="21"/>
              </w:rPr>
            </w:pPr>
            <w:r>
              <w:rPr>
                <w:rFonts w:hint="eastAsia"/>
                <w:snapToGrid w:val="0"/>
                <w:kern w:val="21"/>
                <w:szCs w:val="21"/>
              </w:rPr>
              <w:t>0</w:t>
            </w:r>
          </w:p>
        </w:tc>
        <w:tc>
          <w:tcPr>
            <w:tcW w:w="1559" w:type="dxa"/>
            <w:noWrap w:val="0"/>
            <w:vAlign w:val="center"/>
          </w:tcPr>
          <w:p>
            <w:pPr>
              <w:pStyle w:val="48"/>
              <w:adjustRightInd w:val="0"/>
              <w:snapToGrid w:val="0"/>
              <w:rPr>
                <w:rFonts w:hint="eastAsia" w:eastAsia="宋体"/>
                <w:kern w:val="0"/>
              </w:rPr>
            </w:pPr>
            <w:r>
              <w:rPr>
                <w:rFonts w:hint="eastAsia" w:ascii="Times New Roman" w:hAnsi="Times New Roman" w:eastAsia="宋体" w:cs="Times New Roman"/>
                <w:lang w:val="en-US" w:eastAsia="zh-CN"/>
              </w:rPr>
              <w:t>0.02</w:t>
            </w:r>
          </w:p>
        </w:tc>
        <w:tc>
          <w:tcPr>
            <w:tcW w:w="1761" w:type="dxa"/>
            <w:noWrap w:val="0"/>
            <w:vAlign w:val="center"/>
          </w:tcPr>
          <w:p>
            <w:pPr>
              <w:pStyle w:val="39"/>
              <w:spacing w:beforeLines="0" w:afterLines="0" w:line="240" w:lineRule="auto"/>
              <w:rPr>
                <w:rFonts w:hint="eastAsia"/>
                <w:snapToGrid w:val="0"/>
                <w:kern w:val="21"/>
                <w:szCs w:val="21"/>
              </w:rPr>
            </w:pPr>
            <w:r>
              <w:rPr>
                <w:rFonts w:ascii="Times New Roman" w:hAnsi="Times New Roman" w:eastAsia="宋体"/>
                <w:snapToGrid w:val="0"/>
                <w:kern w:val="21"/>
                <w:szCs w:val="21"/>
              </w:rPr>
              <w:t>0</w:t>
            </w:r>
          </w:p>
        </w:tc>
        <w:tc>
          <w:tcPr>
            <w:tcW w:w="1599" w:type="dxa"/>
            <w:noWrap w:val="0"/>
            <w:vAlign w:val="center"/>
          </w:tcPr>
          <w:p>
            <w:pPr>
              <w:pStyle w:val="48"/>
              <w:adjustRightInd w:val="0"/>
              <w:snapToGrid w:val="0"/>
              <w:rPr>
                <w:rFonts w:hint="eastAsia" w:eastAsia="宋体"/>
                <w:kern w:val="0"/>
              </w:rPr>
            </w:pPr>
            <w:r>
              <w:rPr>
                <w:rFonts w:hint="eastAsia" w:ascii="Times New Roman" w:hAnsi="Times New Roman" w:eastAsia="宋体" w:cs="Times New Roman"/>
                <w:lang w:val="en-US" w:eastAsia="zh-CN"/>
              </w:rPr>
              <w:t>0.02</w:t>
            </w:r>
          </w:p>
        </w:tc>
        <w:tc>
          <w:tcPr>
            <w:tcW w:w="1186" w:type="dxa"/>
            <w:noWrap w:val="0"/>
            <w:vAlign w:val="center"/>
          </w:tcPr>
          <w:p>
            <w:pPr>
              <w:pStyle w:val="48"/>
              <w:adjustRightInd w:val="0"/>
              <w:snapToGrid w:val="0"/>
              <w:rPr>
                <w:rFonts w:hint="eastAsia" w:eastAsia="宋体"/>
                <w:kern w:val="0"/>
              </w:rPr>
            </w:pPr>
            <w:r>
              <w:rPr>
                <w:rFonts w:hint="eastAsia"/>
                <w:kern w:val="0"/>
                <w:szCs w:val="21"/>
                <w:lang w:bidi="ar"/>
              </w:rPr>
              <w:t>+</w:t>
            </w:r>
            <w:r>
              <w:rPr>
                <w:rFonts w:hint="eastAsia" w:ascii="Times New Roman" w:hAnsi="Times New Roman" w:eastAsia="宋体" w:cs="Times New Roman"/>
                <w:lang w:val="en-US" w:eastAsia="zh-CN"/>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0" w:type="dxa"/>
            <w:vMerge w:val="continue"/>
            <w:noWrap w:val="0"/>
            <w:vAlign w:val="center"/>
          </w:tcPr>
          <w:p>
            <w:pPr>
              <w:pStyle w:val="39"/>
              <w:spacing w:beforeLines="0" w:afterLines="0" w:line="240" w:lineRule="auto"/>
              <w:rPr>
                <w:rFonts w:ascii="Times New Roman" w:hAnsi="Times New Roman" w:eastAsia="宋体"/>
                <w:snapToGrid w:val="0"/>
                <w:kern w:val="21"/>
                <w:szCs w:val="21"/>
              </w:rPr>
            </w:pPr>
          </w:p>
        </w:tc>
        <w:tc>
          <w:tcPr>
            <w:tcW w:w="1545" w:type="dxa"/>
            <w:noWrap w:val="0"/>
            <w:vAlign w:val="center"/>
          </w:tcPr>
          <w:p>
            <w:pPr>
              <w:pStyle w:val="48"/>
              <w:adjustRightInd w:val="0"/>
              <w:snapToGrid w:val="0"/>
              <w:rPr>
                <w:rFonts w:hint="eastAsia" w:eastAsia="宋体"/>
                <w:kern w:val="0"/>
              </w:rPr>
            </w:pPr>
            <w:r>
              <w:rPr>
                <w:rFonts w:hint="eastAsia" w:ascii="Times New Roman" w:hAnsi="Times New Roman" w:eastAsia="宋体" w:cs="Times New Roman"/>
                <w:lang w:val="en-US" w:eastAsia="zh-CN"/>
              </w:rPr>
              <w:t>废包装材料</w:t>
            </w:r>
          </w:p>
        </w:tc>
        <w:tc>
          <w:tcPr>
            <w:tcW w:w="1701" w:type="dxa"/>
            <w:noWrap w:val="0"/>
            <w:vAlign w:val="center"/>
          </w:tcPr>
          <w:p>
            <w:pPr>
              <w:jc w:val="center"/>
              <w:rPr>
                <w:rFonts w:hint="eastAsia"/>
                <w:snapToGrid w:val="0"/>
                <w:kern w:val="21"/>
                <w:szCs w:val="21"/>
              </w:rPr>
            </w:pPr>
            <w:r>
              <w:rPr>
                <w:rFonts w:hint="eastAsia"/>
                <w:snapToGrid w:val="0"/>
                <w:kern w:val="21"/>
                <w:szCs w:val="21"/>
              </w:rPr>
              <w:t>0</w:t>
            </w:r>
          </w:p>
        </w:tc>
        <w:tc>
          <w:tcPr>
            <w:tcW w:w="1276" w:type="dxa"/>
            <w:noWrap w:val="0"/>
            <w:vAlign w:val="center"/>
          </w:tcPr>
          <w:p>
            <w:pPr>
              <w:jc w:val="center"/>
              <w:rPr>
                <w:rFonts w:hint="eastAsia"/>
                <w:snapToGrid w:val="0"/>
                <w:kern w:val="21"/>
                <w:szCs w:val="21"/>
              </w:rPr>
            </w:pPr>
            <w:r>
              <w:rPr>
                <w:rFonts w:hint="eastAsia"/>
                <w:snapToGrid w:val="0"/>
                <w:kern w:val="21"/>
                <w:szCs w:val="21"/>
              </w:rPr>
              <w:t>0</w:t>
            </w:r>
          </w:p>
        </w:tc>
        <w:tc>
          <w:tcPr>
            <w:tcW w:w="1701" w:type="dxa"/>
            <w:noWrap w:val="0"/>
            <w:vAlign w:val="center"/>
          </w:tcPr>
          <w:p>
            <w:pPr>
              <w:jc w:val="center"/>
              <w:rPr>
                <w:rFonts w:hint="eastAsia"/>
                <w:snapToGrid w:val="0"/>
                <w:kern w:val="21"/>
                <w:szCs w:val="21"/>
              </w:rPr>
            </w:pPr>
            <w:r>
              <w:rPr>
                <w:rFonts w:hint="eastAsia"/>
                <w:snapToGrid w:val="0"/>
                <w:kern w:val="21"/>
                <w:szCs w:val="21"/>
              </w:rPr>
              <w:t>0</w:t>
            </w:r>
          </w:p>
        </w:tc>
        <w:tc>
          <w:tcPr>
            <w:tcW w:w="1559" w:type="dxa"/>
            <w:noWrap w:val="0"/>
            <w:vAlign w:val="center"/>
          </w:tcPr>
          <w:p>
            <w:pPr>
              <w:pStyle w:val="48"/>
              <w:adjustRightInd w:val="0"/>
              <w:snapToGrid w:val="0"/>
              <w:rPr>
                <w:rFonts w:hint="eastAsia" w:eastAsia="宋体"/>
                <w:kern w:val="0"/>
              </w:rPr>
            </w:pPr>
            <w:r>
              <w:rPr>
                <w:rFonts w:hint="eastAsia" w:ascii="Times New Roman" w:hAnsi="Times New Roman" w:eastAsia="宋体" w:cs="Times New Roman"/>
                <w:lang w:val="en-US" w:eastAsia="zh-CN"/>
              </w:rPr>
              <w:t>0.02</w:t>
            </w:r>
          </w:p>
        </w:tc>
        <w:tc>
          <w:tcPr>
            <w:tcW w:w="1761" w:type="dxa"/>
            <w:noWrap w:val="0"/>
            <w:vAlign w:val="center"/>
          </w:tcPr>
          <w:p>
            <w:pPr>
              <w:jc w:val="center"/>
              <w:rPr>
                <w:rFonts w:hint="eastAsia"/>
                <w:snapToGrid w:val="0"/>
                <w:kern w:val="21"/>
                <w:szCs w:val="21"/>
              </w:rPr>
            </w:pPr>
            <w:r>
              <w:rPr>
                <w:snapToGrid w:val="0"/>
                <w:kern w:val="21"/>
                <w:szCs w:val="21"/>
              </w:rPr>
              <w:t>0</w:t>
            </w:r>
          </w:p>
        </w:tc>
        <w:tc>
          <w:tcPr>
            <w:tcW w:w="1599" w:type="dxa"/>
            <w:noWrap w:val="0"/>
            <w:vAlign w:val="center"/>
          </w:tcPr>
          <w:p>
            <w:pPr>
              <w:pStyle w:val="48"/>
              <w:adjustRightInd w:val="0"/>
              <w:snapToGrid w:val="0"/>
              <w:rPr>
                <w:rFonts w:hint="eastAsia" w:eastAsia="宋体"/>
                <w:kern w:val="0"/>
              </w:rPr>
            </w:pPr>
            <w:r>
              <w:rPr>
                <w:rFonts w:hint="eastAsia" w:ascii="Times New Roman" w:hAnsi="Times New Roman" w:eastAsia="宋体" w:cs="Times New Roman"/>
                <w:lang w:val="en-US" w:eastAsia="zh-CN"/>
              </w:rPr>
              <w:t>0.02</w:t>
            </w:r>
          </w:p>
        </w:tc>
        <w:tc>
          <w:tcPr>
            <w:tcW w:w="1186" w:type="dxa"/>
            <w:noWrap w:val="0"/>
            <w:vAlign w:val="center"/>
          </w:tcPr>
          <w:p>
            <w:pPr>
              <w:pStyle w:val="48"/>
              <w:adjustRightInd w:val="0"/>
              <w:snapToGrid w:val="0"/>
              <w:rPr>
                <w:rFonts w:hint="eastAsia" w:eastAsia="宋体"/>
                <w:kern w:val="0"/>
              </w:rPr>
            </w:pPr>
            <w:r>
              <w:rPr>
                <w:rFonts w:hint="eastAsia"/>
                <w:kern w:val="0"/>
                <w:szCs w:val="21"/>
                <w:lang w:bidi="ar"/>
              </w:rPr>
              <w:t>+</w:t>
            </w:r>
            <w:r>
              <w:rPr>
                <w:rFonts w:hint="eastAsia" w:ascii="Times New Roman" w:hAnsi="Times New Roman" w:eastAsia="宋体" w:cs="Times New Roman"/>
                <w:lang w:val="en-US" w:eastAsia="zh-CN"/>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0" w:type="dxa"/>
            <w:vMerge w:val="restart"/>
            <w:noWrap w:val="0"/>
            <w:vAlign w:val="center"/>
          </w:tcPr>
          <w:p>
            <w:pPr>
              <w:pStyle w:val="39"/>
              <w:spacing w:beforeLines="0" w:afterLines="0" w:line="240" w:lineRule="auto"/>
              <w:rPr>
                <w:rFonts w:ascii="Times New Roman" w:hAnsi="Times New Roman" w:eastAsia="宋体"/>
                <w:snapToGrid w:val="0"/>
                <w:kern w:val="21"/>
                <w:szCs w:val="21"/>
              </w:rPr>
            </w:pPr>
            <w:r>
              <w:rPr>
                <w:rFonts w:ascii="Times New Roman" w:hAnsi="Times New Roman" w:eastAsia="宋体"/>
                <w:snapToGrid w:val="0"/>
                <w:kern w:val="21"/>
                <w:szCs w:val="21"/>
              </w:rPr>
              <w:t>危险废物</w:t>
            </w:r>
          </w:p>
        </w:tc>
        <w:tc>
          <w:tcPr>
            <w:tcW w:w="1545" w:type="dxa"/>
            <w:noWrap w:val="0"/>
            <w:vAlign w:val="center"/>
          </w:tcPr>
          <w:p>
            <w:pPr>
              <w:pStyle w:val="48"/>
              <w:adjustRightInd w:val="0"/>
              <w:snapToGrid w:val="0"/>
              <w:rPr>
                <w:rFonts w:hint="eastAsia" w:eastAsia="宋体"/>
                <w:kern w:val="0"/>
                <w:lang w:eastAsia="zh-CN"/>
              </w:rPr>
            </w:pPr>
            <w:r>
              <w:rPr>
                <w:rFonts w:hint="eastAsia" w:eastAsia="宋体"/>
                <w:kern w:val="0"/>
              </w:rPr>
              <w:t>废</w:t>
            </w:r>
            <w:r>
              <w:rPr>
                <w:rFonts w:hint="eastAsia" w:eastAsia="宋体"/>
                <w:kern w:val="0"/>
                <w:lang w:val="en-US" w:eastAsia="zh-CN"/>
              </w:rPr>
              <w:t>擦拭布</w:t>
            </w:r>
          </w:p>
        </w:tc>
        <w:tc>
          <w:tcPr>
            <w:tcW w:w="1701" w:type="dxa"/>
            <w:noWrap w:val="0"/>
            <w:vAlign w:val="center"/>
          </w:tcPr>
          <w:p>
            <w:pPr>
              <w:jc w:val="center"/>
              <w:rPr>
                <w:snapToGrid w:val="0"/>
                <w:kern w:val="21"/>
                <w:szCs w:val="21"/>
              </w:rPr>
            </w:pPr>
            <w:r>
              <w:rPr>
                <w:rFonts w:hint="eastAsia"/>
                <w:snapToGrid w:val="0"/>
                <w:kern w:val="21"/>
                <w:szCs w:val="21"/>
              </w:rPr>
              <w:t>0</w:t>
            </w:r>
          </w:p>
        </w:tc>
        <w:tc>
          <w:tcPr>
            <w:tcW w:w="1276" w:type="dxa"/>
            <w:noWrap w:val="0"/>
            <w:vAlign w:val="center"/>
          </w:tcPr>
          <w:p>
            <w:pPr>
              <w:jc w:val="center"/>
              <w:rPr>
                <w:snapToGrid w:val="0"/>
                <w:kern w:val="21"/>
                <w:szCs w:val="21"/>
              </w:rPr>
            </w:pPr>
            <w:r>
              <w:rPr>
                <w:rFonts w:hint="eastAsia"/>
                <w:snapToGrid w:val="0"/>
                <w:kern w:val="21"/>
                <w:szCs w:val="21"/>
              </w:rPr>
              <w:t>0</w:t>
            </w:r>
          </w:p>
        </w:tc>
        <w:tc>
          <w:tcPr>
            <w:tcW w:w="1701" w:type="dxa"/>
            <w:noWrap w:val="0"/>
            <w:vAlign w:val="center"/>
          </w:tcPr>
          <w:p>
            <w:pPr>
              <w:jc w:val="center"/>
              <w:rPr>
                <w:snapToGrid w:val="0"/>
                <w:kern w:val="21"/>
                <w:szCs w:val="21"/>
              </w:rPr>
            </w:pPr>
            <w:r>
              <w:rPr>
                <w:rFonts w:hint="eastAsia"/>
                <w:snapToGrid w:val="0"/>
                <w:kern w:val="21"/>
                <w:szCs w:val="21"/>
              </w:rPr>
              <w:t>0</w:t>
            </w:r>
          </w:p>
        </w:tc>
        <w:tc>
          <w:tcPr>
            <w:tcW w:w="1559" w:type="dxa"/>
            <w:noWrap w:val="0"/>
            <w:vAlign w:val="center"/>
          </w:tcPr>
          <w:p>
            <w:pPr>
              <w:pStyle w:val="48"/>
              <w:adjustRightInd w:val="0"/>
              <w:snapToGrid w:val="0"/>
              <w:rPr>
                <w:rFonts w:eastAsia="宋体"/>
                <w:kern w:val="0"/>
              </w:rPr>
            </w:pPr>
            <w:r>
              <w:rPr>
                <w:rFonts w:hint="eastAsia" w:ascii="Times New Roman" w:hAnsi="Times New Roman" w:eastAsia="宋体" w:cs="Times New Roman"/>
                <w:lang w:val="en-US" w:eastAsia="zh-CN"/>
              </w:rPr>
              <w:t>0.01</w:t>
            </w:r>
          </w:p>
        </w:tc>
        <w:tc>
          <w:tcPr>
            <w:tcW w:w="1761" w:type="dxa"/>
            <w:noWrap w:val="0"/>
            <w:vAlign w:val="center"/>
          </w:tcPr>
          <w:p>
            <w:pPr>
              <w:jc w:val="center"/>
              <w:rPr>
                <w:snapToGrid w:val="0"/>
                <w:kern w:val="21"/>
                <w:szCs w:val="21"/>
              </w:rPr>
            </w:pPr>
            <w:r>
              <w:rPr>
                <w:rFonts w:hint="eastAsia"/>
                <w:snapToGrid w:val="0"/>
                <w:kern w:val="21"/>
                <w:szCs w:val="21"/>
              </w:rPr>
              <w:t>0</w:t>
            </w:r>
          </w:p>
        </w:tc>
        <w:tc>
          <w:tcPr>
            <w:tcW w:w="1599" w:type="dxa"/>
            <w:noWrap w:val="0"/>
            <w:vAlign w:val="center"/>
          </w:tcPr>
          <w:p>
            <w:pPr>
              <w:pStyle w:val="48"/>
              <w:adjustRightInd w:val="0"/>
              <w:snapToGrid w:val="0"/>
              <w:rPr>
                <w:rFonts w:eastAsia="宋体"/>
                <w:snapToGrid w:val="0"/>
                <w:kern w:val="21"/>
              </w:rPr>
            </w:pPr>
            <w:r>
              <w:rPr>
                <w:rFonts w:hint="eastAsia" w:ascii="Times New Roman" w:hAnsi="Times New Roman" w:eastAsia="宋体" w:cs="Times New Roman"/>
                <w:lang w:val="en-US" w:eastAsia="zh-CN"/>
              </w:rPr>
              <w:t>0.01</w:t>
            </w:r>
          </w:p>
        </w:tc>
        <w:tc>
          <w:tcPr>
            <w:tcW w:w="1186" w:type="dxa"/>
            <w:noWrap w:val="0"/>
            <w:vAlign w:val="center"/>
          </w:tcPr>
          <w:p>
            <w:pPr>
              <w:pStyle w:val="48"/>
              <w:adjustRightInd w:val="0"/>
              <w:snapToGrid w:val="0"/>
              <w:rPr>
                <w:rFonts w:eastAsia="宋体"/>
                <w:snapToGrid w:val="0"/>
                <w:kern w:val="21"/>
              </w:rPr>
            </w:pPr>
            <w:r>
              <w:rPr>
                <w:rFonts w:hint="eastAsia"/>
                <w:kern w:val="0"/>
                <w:szCs w:val="21"/>
                <w:lang w:bidi="ar"/>
              </w:rPr>
              <w:t>+</w:t>
            </w:r>
            <w:r>
              <w:rPr>
                <w:rFonts w:hint="eastAsia" w:ascii="Times New Roman" w:hAnsi="Times New Roman" w:eastAsia="宋体" w:cs="Times New Roman"/>
                <w:lang w:val="en-US" w:eastAsia="zh-CN"/>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0" w:type="dxa"/>
            <w:vMerge w:val="continue"/>
            <w:noWrap w:val="0"/>
            <w:vAlign w:val="center"/>
          </w:tcPr>
          <w:p>
            <w:pPr>
              <w:pStyle w:val="39"/>
              <w:spacing w:beforeLines="0" w:afterLines="0" w:line="240" w:lineRule="auto"/>
              <w:rPr>
                <w:rFonts w:ascii="Times New Roman" w:hAnsi="Times New Roman" w:eastAsia="宋体"/>
                <w:snapToGrid w:val="0"/>
                <w:kern w:val="21"/>
                <w:szCs w:val="21"/>
              </w:rPr>
            </w:pPr>
          </w:p>
        </w:tc>
        <w:tc>
          <w:tcPr>
            <w:tcW w:w="1545" w:type="dxa"/>
            <w:noWrap w:val="0"/>
            <w:vAlign w:val="center"/>
          </w:tcPr>
          <w:p>
            <w:pPr>
              <w:pStyle w:val="48"/>
              <w:adjustRightInd w:val="0"/>
              <w:snapToGrid w:val="0"/>
              <w:rPr>
                <w:rFonts w:hint="eastAsia" w:eastAsia="宋体"/>
                <w:kern w:val="0"/>
                <w:lang w:val="en-US" w:eastAsia="zh-CN"/>
              </w:rPr>
            </w:pPr>
            <w:r>
              <w:rPr>
                <w:rFonts w:hint="eastAsia" w:eastAsia="宋体"/>
                <w:kern w:val="0"/>
                <w:lang w:val="en-US" w:eastAsia="zh-CN"/>
              </w:rPr>
              <w:t>废液</w:t>
            </w:r>
          </w:p>
        </w:tc>
        <w:tc>
          <w:tcPr>
            <w:tcW w:w="1701" w:type="dxa"/>
            <w:noWrap w:val="0"/>
            <w:vAlign w:val="center"/>
          </w:tcPr>
          <w:p>
            <w:pPr>
              <w:jc w:val="center"/>
              <w:rPr>
                <w:rFonts w:hint="eastAsia"/>
                <w:snapToGrid w:val="0"/>
                <w:kern w:val="21"/>
                <w:szCs w:val="21"/>
              </w:rPr>
            </w:pPr>
            <w:r>
              <w:rPr>
                <w:rFonts w:hint="eastAsia"/>
                <w:snapToGrid w:val="0"/>
                <w:kern w:val="21"/>
                <w:szCs w:val="21"/>
              </w:rPr>
              <w:t>0</w:t>
            </w:r>
          </w:p>
        </w:tc>
        <w:tc>
          <w:tcPr>
            <w:tcW w:w="1276" w:type="dxa"/>
            <w:noWrap w:val="0"/>
            <w:vAlign w:val="center"/>
          </w:tcPr>
          <w:p>
            <w:pPr>
              <w:jc w:val="center"/>
              <w:rPr>
                <w:rFonts w:hint="eastAsia"/>
                <w:snapToGrid w:val="0"/>
                <w:kern w:val="21"/>
                <w:szCs w:val="21"/>
              </w:rPr>
            </w:pPr>
            <w:r>
              <w:rPr>
                <w:rFonts w:hint="eastAsia"/>
                <w:snapToGrid w:val="0"/>
                <w:kern w:val="21"/>
                <w:szCs w:val="21"/>
              </w:rPr>
              <w:t>0</w:t>
            </w:r>
          </w:p>
        </w:tc>
        <w:tc>
          <w:tcPr>
            <w:tcW w:w="1701" w:type="dxa"/>
            <w:noWrap w:val="0"/>
            <w:vAlign w:val="center"/>
          </w:tcPr>
          <w:p>
            <w:pPr>
              <w:jc w:val="center"/>
              <w:rPr>
                <w:rFonts w:hint="eastAsia"/>
                <w:snapToGrid w:val="0"/>
                <w:kern w:val="21"/>
                <w:szCs w:val="21"/>
              </w:rPr>
            </w:pPr>
            <w:r>
              <w:rPr>
                <w:rFonts w:hint="eastAsia"/>
                <w:snapToGrid w:val="0"/>
                <w:kern w:val="21"/>
                <w:szCs w:val="21"/>
              </w:rPr>
              <w:t>0</w:t>
            </w:r>
          </w:p>
        </w:tc>
        <w:tc>
          <w:tcPr>
            <w:tcW w:w="1559" w:type="dxa"/>
            <w:noWrap w:val="0"/>
            <w:vAlign w:val="center"/>
          </w:tcPr>
          <w:p>
            <w:pPr>
              <w:pStyle w:val="48"/>
              <w:adjustRightInd w:val="0"/>
              <w:snapToGrid w:val="0"/>
              <w:rPr>
                <w:rFonts w:hint="default" w:eastAsia="宋体"/>
                <w:kern w:val="0"/>
                <w:lang w:val="en-US"/>
              </w:rPr>
            </w:pPr>
            <w:r>
              <w:rPr>
                <w:rFonts w:hint="eastAsia" w:ascii="Times New Roman" w:hAnsi="Times New Roman" w:eastAsia="宋体" w:cs="Times New Roman"/>
                <w:lang w:val="en-US" w:eastAsia="zh-CN"/>
              </w:rPr>
              <w:t>0.054</w:t>
            </w:r>
          </w:p>
        </w:tc>
        <w:tc>
          <w:tcPr>
            <w:tcW w:w="1761" w:type="dxa"/>
            <w:noWrap w:val="0"/>
            <w:vAlign w:val="center"/>
          </w:tcPr>
          <w:p>
            <w:pPr>
              <w:pStyle w:val="39"/>
              <w:spacing w:beforeLines="0" w:afterLines="0" w:line="240" w:lineRule="auto"/>
              <w:rPr>
                <w:snapToGrid w:val="0"/>
                <w:kern w:val="21"/>
                <w:szCs w:val="21"/>
              </w:rPr>
            </w:pPr>
            <w:r>
              <w:rPr>
                <w:rFonts w:ascii="Times New Roman" w:hAnsi="Times New Roman" w:eastAsia="宋体"/>
                <w:snapToGrid w:val="0"/>
                <w:kern w:val="21"/>
                <w:szCs w:val="21"/>
              </w:rPr>
              <w:t>0</w:t>
            </w:r>
          </w:p>
        </w:tc>
        <w:tc>
          <w:tcPr>
            <w:tcW w:w="1599" w:type="dxa"/>
            <w:noWrap w:val="0"/>
            <w:vAlign w:val="center"/>
          </w:tcPr>
          <w:p>
            <w:pPr>
              <w:pStyle w:val="48"/>
              <w:adjustRightInd w:val="0"/>
              <w:snapToGrid w:val="0"/>
              <w:rPr>
                <w:rFonts w:hint="default" w:eastAsia="宋体"/>
                <w:kern w:val="0"/>
                <w:lang w:val="en-US"/>
              </w:rPr>
            </w:pPr>
            <w:r>
              <w:rPr>
                <w:rFonts w:hint="eastAsia" w:ascii="Times New Roman" w:hAnsi="Times New Roman" w:eastAsia="宋体" w:cs="Times New Roman"/>
                <w:lang w:val="en-US" w:eastAsia="zh-CN"/>
              </w:rPr>
              <w:t>0.054</w:t>
            </w:r>
          </w:p>
        </w:tc>
        <w:tc>
          <w:tcPr>
            <w:tcW w:w="1186" w:type="dxa"/>
            <w:noWrap w:val="0"/>
            <w:vAlign w:val="center"/>
          </w:tcPr>
          <w:p>
            <w:pPr>
              <w:pStyle w:val="48"/>
              <w:adjustRightInd w:val="0"/>
              <w:snapToGrid w:val="0"/>
              <w:rPr>
                <w:rFonts w:hint="default" w:eastAsia="宋体"/>
                <w:kern w:val="0"/>
                <w:lang w:val="en-US"/>
              </w:rPr>
            </w:pPr>
            <w:r>
              <w:rPr>
                <w:rFonts w:hint="eastAsia"/>
                <w:kern w:val="0"/>
                <w:szCs w:val="21"/>
                <w:lang w:bidi="ar"/>
              </w:rPr>
              <w:t>+</w:t>
            </w:r>
            <w:r>
              <w:rPr>
                <w:rFonts w:hint="eastAsia" w:ascii="Times New Roman" w:hAnsi="Times New Roman" w:eastAsia="宋体" w:cs="Times New Roman"/>
                <w:lang w:val="en-US" w:eastAsia="zh-CN"/>
              </w:rPr>
              <w:t>0.054</w:t>
            </w:r>
          </w:p>
        </w:tc>
      </w:tr>
    </w:tbl>
    <w:p>
      <w:pPr>
        <w:pStyle w:val="39"/>
        <w:spacing w:before="192" w:beforeLines="80" w:after="24"/>
        <w:jc w:val="left"/>
        <w:rPr>
          <w:rFonts w:hAnsi="宋体"/>
          <w:snapToGrid w:val="0"/>
          <w:spacing w:val="-6"/>
          <w:kern w:val="21"/>
          <w:szCs w:val="21"/>
        </w:rPr>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p>
    <w:sectPr>
      <w:footerReference r:id="rId8"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Im7W7jdAQAAvgMAAA4AAAAAAAAA&#10;AQAgAAAAHgEAAGRycy9lMm9Eb2MueG1sUEsFBgAAAAAGAAYAWQEAAG0FAAAAAA==&#10;">
              <v:fill on="f" focussize="0,0"/>
              <v:stroke on="f"/>
              <v:imagedata o:title=""/>
              <o:lock v:ext="edit" aspectratio="f"/>
              <v:textbox inset="0mm,0mm,0mm,0mm" style="mso-fit-shape-to-text:t;">
                <w:txbxContent>
                  <w:p>
                    <w:pPr>
                      <w:pStyle w:val="1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3190" cy="14224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23190" cy="142240"/>
                      </a:xfrm>
                      <a:prstGeom prst="rect">
                        <a:avLst/>
                      </a:prstGeom>
                      <a:noFill/>
                      <a:ln w="6350">
                        <a:noFill/>
                      </a:ln>
                    </wps:spPr>
                    <wps:txbx>
                      <w:txbxContent>
                        <w:p>
                          <w:pPr>
                            <w:pStyle w:val="14"/>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p>
                      </w:txbxContent>
                    </wps:txbx>
                    <wps:bodyPr vert="horz" wrap="square" lIns="0" tIns="0" rIns="0" bIns="0" anchor="t" anchorCtr="0" upright="1"/>
                  </wps:wsp>
                </a:graphicData>
              </a:graphic>
            </wp:anchor>
          </w:drawing>
        </mc:Choice>
        <mc:Fallback>
          <w:pict>
            <v:shape id="文本框 2" o:spid="_x0000_s1026" o:spt="202" type="#_x0000_t202" style="position:absolute;left:0pt;margin-top:0pt;height:11.2pt;width:9.7pt;mso-position-horizontal:center;mso-position-horizontal-relative:margin;z-index:251659264;mso-width-relative:page;mso-height-relative:page;" filled="f" stroked="f" coordsize="21600,21600" o:gfxdata="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5S/ZDTAAAAAwEAAA8AAAAA&#10;AAAAAQAgAAAAIgAAAGRycy9kb3ducmV2LnhtbFBLAQIUABQAAAAIAIdO4kALIG5q4AEAAK0DAAAO&#10;AAAAAAAAAAEAIAAAACIBAABkcnMvZTJvRG9jLnhtbFBLBQYAAAAABgAGAFkBAAB0BQAAAAA=&#10;">
              <v:fill on="f" focussize="0,0"/>
              <v:stroke on="f" weight="0.5pt"/>
              <v:imagedata o:title=""/>
              <o:lock v:ext="edit" aspectratio="f"/>
              <v:textbox inset="0mm,0mm,0mm,0mm">
                <w:txbxContent>
                  <w:p>
                    <w:pPr>
                      <w:pStyle w:val="14"/>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59</w:t>
                          </w:r>
                          <w: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KMBH4d8BAADBAwAADgAAAAAA&#10;AAABACAAAAAeAQAAZHJzL2Uyb0RvYy54bWxQSwUGAAAAAAYABgBZAQAAb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59</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7CC76"/>
    <w:multiLevelType w:val="singleLevel"/>
    <w:tmpl w:val="A197CC76"/>
    <w:lvl w:ilvl="0" w:tentative="0">
      <w:start w:val="6"/>
      <w:numFmt w:val="decimal"/>
      <w:suff w:val="nothing"/>
      <w:lvlText w:val="%1、"/>
      <w:lvlJc w:val="left"/>
    </w:lvl>
  </w:abstractNum>
  <w:abstractNum w:abstractNumId="1">
    <w:nsid w:val="CFFDEF8A"/>
    <w:multiLevelType w:val="singleLevel"/>
    <w:tmpl w:val="CFFDEF8A"/>
    <w:lvl w:ilvl="0" w:tentative="0">
      <w:start w:val="1"/>
      <w:numFmt w:val="lowerLetter"/>
      <w:lvlText w:val="%1."/>
      <w:lvlJc w:val="left"/>
      <w:pPr>
        <w:tabs>
          <w:tab w:val="left" w:pos="312"/>
        </w:tabs>
      </w:pPr>
    </w:lvl>
  </w:abstractNum>
  <w:abstractNum w:abstractNumId="2">
    <w:nsid w:val="D66FBFE0"/>
    <w:multiLevelType w:val="singleLevel"/>
    <w:tmpl w:val="D66FBFE0"/>
    <w:lvl w:ilvl="0" w:tentative="0">
      <w:start w:val="1"/>
      <w:numFmt w:val="lowerLetter"/>
      <w:lvlText w:val="%1."/>
      <w:lvlJc w:val="left"/>
      <w:pPr>
        <w:tabs>
          <w:tab w:val="left" w:pos="312"/>
        </w:tabs>
      </w:pPr>
    </w:lvl>
  </w:abstractNum>
  <w:abstractNum w:abstractNumId="3">
    <w:nsid w:val="F8B615F1"/>
    <w:multiLevelType w:val="singleLevel"/>
    <w:tmpl w:val="F8B615F1"/>
    <w:lvl w:ilvl="0" w:tentative="0">
      <w:start w:val="1"/>
      <w:numFmt w:val="decimal"/>
      <w:suff w:val="nothing"/>
      <w:lvlText w:val="%1、"/>
      <w:lvlJc w:val="left"/>
    </w:lvl>
  </w:abstractNum>
  <w:abstractNum w:abstractNumId="4">
    <w:nsid w:val="00000004"/>
    <w:multiLevelType w:val="multilevel"/>
    <w:tmpl w:val="00000004"/>
    <w:lvl w:ilvl="0" w:tentative="0">
      <w:start w:val="1"/>
      <w:numFmt w:val="upperRoman"/>
      <w:lvlText w:val="%1."/>
      <w:lvlJc w:val="left"/>
      <w:pPr>
        <w:tabs>
          <w:tab w:val="left" w:pos="425"/>
        </w:tabs>
        <w:ind w:left="0" w:firstLine="0"/>
      </w:pPr>
    </w:lvl>
    <w:lvl w:ilvl="1" w:tentative="0">
      <w:start w:val="1"/>
      <w:numFmt w:val="upperLetter"/>
      <w:lvlText w:val="%2."/>
      <w:lvlJc w:val="left"/>
      <w:pPr>
        <w:tabs>
          <w:tab w:val="left" w:pos="1276"/>
        </w:tabs>
        <w:ind w:left="851" w:firstLine="0"/>
      </w:pPr>
    </w:lvl>
    <w:lvl w:ilvl="2" w:tentative="0">
      <w:start w:val="1"/>
      <w:numFmt w:val="decimal"/>
      <w:pStyle w:val="4"/>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5">
    <w:nsid w:val="1071C670"/>
    <w:multiLevelType w:val="singleLevel"/>
    <w:tmpl w:val="1071C670"/>
    <w:lvl w:ilvl="0" w:tentative="0">
      <w:start w:val="1"/>
      <w:numFmt w:val="upperRoman"/>
      <w:suff w:val="nothing"/>
      <w:lvlText w:val="%1）"/>
      <w:lvlJc w:val="left"/>
    </w:lvl>
  </w:abstractNum>
  <w:abstractNum w:abstractNumId="6">
    <w:nsid w:val="33D106B7"/>
    <w:multiLevelType w:val="singleLevel"/>
    <w:tmpl w:val="33D106B7"/>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7">
    <w:nsid w:val="477A7D68"/>
    <w:multiLevelType w:val="singleLevel"/>
    <w:tmpl w:val="477A7D68"/>
    <w:lvl w:ilvl="0" w:tentative="0">
      <w:start w:val="1"/>
      <w:numFmt w:val="lowerLetter"/>
      <w:lvlText w:val="%1."/>
      <w:lvlJc w:val="left"/>
      <w:pPr>
        <w:tabs>
          <w:tab w:val="left" w:pos="312"/>
        </w:tabs>
      </w:pPr>
    </w:lvl>
  </w:abstractNum>
  <w:abstractNum w:abstractNumId="8">
    <w:nsid w:val="508B5C01"/>
    <w:multiLevelType w:val="singleLevel"/>
    <w:tmpl w:val="508B5C01"/>
    <w:lvl w:ilvl="0" w:tentative="0">
      <w:start w:val="2"/>
      <w:numFmt w:val="decimal"/>
      <w:suff w:val="nothing"/>
      <w:lvlText w:val="（%1）"/>
      <w:lvlJc w:val="left"/>
      <w:rPr>
        <w:rFonts w:hint="default"/>
        <w:b/>
        <w:bCs/>
      </w:rPr>
    </w:lvl>
  </w:abstractNum>
  <w:abstractNum w:abstractNumId="9">
    <w:nsid w:val="67844326"/>
    <w:multiLevelType w:val="singleLevel"/>
    <w:tmpl w:val="67844326"/>
    <w:lvl w:ilvl="0" w:tentative="0">
      <w:start w:val="1"/>
      <w:numFmt w:val="lowerLetter"/>
      <w:lvlText w:val="%1."/>
      <w:lvlJc w:val="left"/>
      <w:pPr>
        <w:tabs>
          <w:tab w:val="left" w:pos="312"/>
        </w:tabs>
      </w:pPr>
    </w:lvl>
  </w:abstractNum>
  <w:num w:numId="1">
    <w:abstractNumId w:val="4"/>
  </w:num>
  <w:num w:numId="2">
    <w:abstractNumId w:val="6"/>
  </w:num>
  <w:num w:numId="3">
    <w:abstractNumId w:val="0"/>
  </w:num>
  <w:num w:numId="4">
    <w:abstractNumId w:val="8"/>
  </w:num>
  <w:num w:numId="5">
    <w:abstractNumId w:val="3"/>
  </w:num>
  <w:num w:numId="6">
    <w:abstractNumId w:val="5"/>
  </w:num>
  <w:num w:numId="7">
    <w:abstractNumId w:val="1"/>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3035"/>
    <w:rsid w:val="00090754"/>
    <w:rsid w:val="000C074A"/>
    <w:rsid w:val="000D5126"/>
    <w:rsid w:val="000F536B"/>
    <w:rsid w:val="00144479"/>
    <w:rsid w:val="00172A27"/>
    <w:rsid w:val="001731D9"/>
    <w:rsid w:val="0018349E"/>
    <w:rsid w:val="00191BF9"/>
    <w:rsid w:val="00196FE3"/>
    <w:rsid w:val="001C0ACB"/>
    <w:rsid w:val="001D7AD4"/>
    <w:rsid w:val="001E4A6D"/>
    <w:rsid w:val="001E4F07"/>
    <w:rsid w:val="002279B9"/>
    <w:rsid w:val="00251AC9"/>
    <w:rsid w:val="00252BA8"/>
    <w:rsid w:val="002555A8"/>
    <w:rsid w:val="00255F31"/>
    <w:rsid w:val="002E54DF"/>
    <w:rsid w:val="002F727B"/>
    <w:rsid w:val="00362FBD"/>
    <w:rsid w:val="00400D0E"/>
    <w:rsid w:val="004026D9"/>
    <w:rsid w:val="0043323E"/>
    <w:rsid w:val="0045077C"/>
    <w:rsid w:val="00455486"/>
    <w:rsid w:val="00462A27"/>
    <w:rsid w:val="004677E0"/>
    <w:rsid w:val="00471C19"/>
    <w:rsid w:val="004D7729"/>
    <w:rsid w:val="004F015F"/>
    <w:rsid w:val="00507F76"/>
    <w:rsid w:val="00567863"/>
    <w:rsid w:val="00654E05"/>
    <w:rsid w:val="00662BB1"/>
    <w:rsid w:val="006740B8"/>
    <w:rsid w:val="00685D8D"/>
    <w:rsid w:val="00686F25"/>
    <w:rsid w:val="006908C1"/>
    <w:rsid w:val="006B009A"/>
    <w:rsid w:val="006B5089"/>
    <w:rsid w:val="006F78EA"/>
    <w:rsid w:val="0073680F"/>
    <w:rsid w:val="00741594"/>
    <w:rsid w:val="00792586"/>
    <w:rsid w:val="007B3FB6"/>
    <w:rsid w:val="007C5579"/>
    <w:rsid w:val="007F2DBE"/>
    <w:rsid w:val="0082445B"/>
    <w:rsid w:val="00831A97"/>
    <w:rsid w:val="00864CEA"/>
    <w:rsid w:val="00883900"/>
    <w:rsid w:val="00884FFE"/>
    <w:rsid w:val="008E2044"/>
    <w:rsid w:val="0091463D"/>
    <w:rsid w:val="00961211"/>
    <w:rsid w:val="00970895"/>
    <w:rsid w:val="009A4797"/>
    <w:rsid w:val="009B51BE"/>
    <w:rsid w:val="009D481B"/>
    <w:rsid w:val="009E382C"/>
    <w:rsid w:val="00A00BF2"/>
    <w:rsid w:val="00A20893"/>
    <w:rsid w:val="00A26BFE"/>
    <w:rsid w:val="00A53448"/>
    <w:rsid w:val="00A61578"/>
    <w:rsid w:val="00A668C1"/>
    <w:rsid w:val="00A923C8"/>
    <w:rsid w:val="00AC0C54"/>
    <w:rsid w:val="00B13D70"/>
    <w:rsid w:val="00B15DE8"/>
    <w:rsid w:val="00B44F03"/>
    <w:rsid w:val="00B47037"/>
    <w:rsid w:val="00B82DE9"/>
    <w:rsid w:val="00BA3C80"/>
    <w:rsid w:val="00BA7F58"/>
    <w:rsid w:val="00BB5338"/>
    <w:rsid w:val="00BC1F0A"/>
    <w:rsid w:val="00BF6CCA"/>
    <w:rsid w:val="00C202F0"/>
    <w:rsid w:val="00C35C03"/>
    <w:rsid w:val="00C77E5C"/>
    <w:rsid w:val="00C9143E"/>
    <w:rsid w:val="00C95D6F"/>
    <w:rsid w:val="00CB4C34"/>
    <w:rsid w:val="00CB664F"/>
    <w:rsid w:val="00CE02CF"/>
    <w:rsid w:val="00CF0CF4"/>
    <w:rsid w:val="00D02CD8"/>
    <w:rsid w:val="00D137C0"/>
    <w:rsid w:val="00D643DE"/>
    <w:rsid w:val="00D90106"/>
    <w:rsid w:val="00DA19E4"/>
    <w:rsid w:val="00E13561"/>
    <w:rsid w:val="00EB2E3F"/>
    <w:rsid w:val="00EB40AC"/>
    <w:rsid w:val="00ED20DD"/>
    <w:rsid w:val="00EE6A56"/>
    <w:rsid w:val="00F30C97"/>
    <w:rsid w:val="00F433C8"/>
    <w:rsid w:val="00F66F0A"/>
    <w:rsid w:val="00F71927"/>
    <w:rsid w:val="00F96983"/>
    <w:rsid w:val="00FC1E8A"/>
    <w:rsid w:val="00FE592A"/>
    <w:rsid w:val="010C5CB3"/>
    <w:rsid w:val="015200EF"/>
    <w:rsid w:val="016078FD"/>
    <w:rsid w:val="01822154"/>
    <w:rsid w:val="018A41D4"/>
    <w:rsid w:val="01EA1DDE"/>
    <w:rsid w:val="022016BA"/>
    <w:rsid w:val="022A5B77"/>
    <w:rsid w:val="02462CED"/>
    <w:rsid w:val="02515A52"/>
    <w:rsid w:val="02D30A17"/>
    <w:rsid w:val="02D934C2"/>
    <w:rsid w:val="031738FC"/>
    <w:rsid w:val="03A4539A"/>
    <w:rsid w:val="03B56464"/>
    <w:rsid w:val="03C57E02"/>
    <w:rsid w:val="03CE4B98"/>
    <w:rsid w:val="03D25E0F"/>
    <w:rsid w:val="03F262CB"/>
    <w:rsid w:val="04993E34"/>
    <w:rsid w:val="04AF5CFE"/>
    <w:rsid w:val="04D93EDD"/>
    <w:rsid w:val="04E62222"/>
    <w:rsid w:val="04F364E7"/>
    <w:rsid w:val="05172D4A"/>
    <w:rsid w:val="051F34E9"/>
    <w:rsid w:val="052A5B71"/>
    <w:rsid w:val="052F1315"/>
    <w:rsid w:val="059E1CFB"/>
    <w:rsid w:val="05B5653E"/>
    <w:rsid w:val="06084C62"/>
    <w:rsid w:val="062B0382"/>
    <w:rsid w:val="0695074A"/>
    <w:rsid w:val="06C9131C"/>
    <w:rsid w:val="06D7684F"/>
    <w:rsid w:val="07201CA4"/>
    <w:rsid w:val="073B6EDD"/>
    <w:rsid w:val="077D4289"/>
    <w:rsid w:val="07A12560"/>
    <w:rsid w:val="07C9325D"/>
    <w:rsid w:val="07CE5A00"/>
    <w:rsid w:val="07E80E65"/>
    <w:rsid w:val="080457F1"/>
    <w:rsid w:val="08BE0F21"/>
    <w:rsid w:val="08C07B4D"/>
    <w:rsid w:val="09687D48"/>
    <w:rsid w:val="096F54E1"/>
    <w:rsid w:val="0A7E08AB"/>
    <w:rsid w:val="0AAF1526"/>
    <w:rsid w:val="0AB50A6B"/>
    <w:rsid w:val="0B4B2446"/>
    <w:rsid w:val="0B852754"/>
    <w:rsid w:val="0BA12B28"/>
    <w:rsid w:val="0BE843C9"/>
    <w:rsid w:val="0C0C32AC"/>
    <w:rsid w:val="0C31427E"/>
    <w:rsid w:val="0C3D1CCB"/>
    <w:rsid w:val="0C522A31"/>
    <w:rsid w:val="0CAD1658"/>
    <w:rsid w:val="0CEC193C"/>
    <w:rsid w:val="0CED1DB8"/>
    <w:rsid w:val="0CFA3AC7"/>
    <w:rsid w:val="0D0321CB"/>
    <w:rsid w:val="0D617421"/>
    <w:rsid w:val="0DB360CE"/>
    <w:rsid w:val="0DD3512D"/>
    <w:rsid w:val="0E0A7D0D"/>
    <w:rsid w:val="0E3E143E"/>
    <w:rsid w:val="0E3F184B"/>
    <w:rsid w:val="0E70760D"/>
    <w:rsid w:val="0E7A0181"/>
    <w:rsid w:val="0EE42F9E"/>
    <w:rsid w:val="0F20212B"/>
    <w:rsid w:val="0F62614A"/>
    <w:rsid w:val="0F772389"/>
    <w:rsid w:val="0F9957A2"/>
    <w:rsid w:val="100A0B27"/>
    <w:rsid w:val="103602A9"/>
    <w:rsid w:val="104D3F77"/>
    <w:rsid w:val="106258BB"/>
    <w:rsid w:val="10A51EBF"/>
    <w:rsid w:val="10D60DEA"/>
    <w:rsid w:val="10DC335D"/>
    <w:rsid w:val="112B1EA7"/>
    <w:rsid w:val="113743C1"/>
    <w:rsid w:val="118A69CA"/>
    <w:rsid w:val="11B1165C"/>
    <w:rsid w:val="11D40097"/>
    <w:rsid w:val="11E052A9"/>
    <w:rsid w:val="120E33C9"/>
    <w:rsid w:val="12C15AFF"/>
    <w:rsid w:val="12C34A8A"/>
    <w:rsid w:val="12CC4C1A"/>
    <w:rsid w:val="12CE4951"/>
    <w:rsid w:val="12D8397F"/>
    <w:rsid w:val="13074F42"/>
    <w:rsid w:val="13222D96"/>
    <w:rsid w:val="135B45A2"/>
    <w:rsid w:val="13C519E6"/>
    <w:rsid w:val="144B0B2B"/>
    <w:rsid w:val="1488500C"/>
    <w:rsid w:val="14CF7214"/>
    <w:rsid w:val="14E44DD4"/>
    <w:rsid w:val="152E3917"/>
    <w:rsid w:val="15545D8D"/>
    <w:rsid w:val="156948F6"/>
    <w:rsid w:val="15C63589"/>
    <w:rsid w:val="15CD1D4D"/>
    <w:rsid w:val="15E2263B"/>
    <w:rsid w:val="15FD2FBD"/>
    <w:rsid w:val="163B6C3B"/>
    <w:rsid w:val="16BA4B2B"/>
    <w:rsid w:val="16C64858"/>
    <w:rsid w:val="16E565A5"/>
    <w:rsid w:val="17070531"/>
    <w:rsid w:val="17707E2F"/>
    <w:rsid w:val="17712BD5"/>
    <w:rsid w:val="17917AA7"/>
    <w:rsid w:val="17DA0DB1"/>
    <w:rsid w:val="17F4618D"/>
    <w:rsid w:val="18053AAD"/>
    <w:rsid w:val="1834563E"/>
    <w:rsid w:val="185B2B43"/>
    <w:rsid w:val="18930D53"/>
    <w:rsid w:val="18CF6479"/>
    <w:rsid w:val="19163ECA"/>
    <w:rsid w:val="194F21FA"/>
    <w:rsid w:val="198A4263"/>
    <w:rsid w:val="198F157A"/>
    <w:rsid w:val="19926CD2"/>
    <w:rsid w:val="1A476679"/>
    <w:rsid w:val="1A931FC5"/>
    <w:rsid w:val="1ACD71F7"/>
    <w:rsid w:val="1B0D67D5"/>
    <w:rsid w:val="1B1D63CA"/>
    <w:rsid w:val="1B84636B"/>
    <w:rsid w:val="1BC43F35"/>
    <w:rsid w:val="1C1A17BD"/>
    <w:rsid w:val="1C4D3DE9"/>
    <w:rsid w:val="1CB35661"/>
    <w:rsid w:val="1CD33353"/>
    <w:rsid w:val="1D3A202D"/>
    <w:rsid w:val="1D3E5347"/>
    <w:rsid w:val="1DB8665E"/>
    <w:rsid w:val="1E177A3F"/>
    <w:rsid w:val="1E2D0EE2"/>
    <w:rsid w:val="1EA35A63"/>
    <w:rsid w:val="1EBC1094"/>
    <w:rsid w:val="1F292AA5"/>
    <w:rsid w:val="1F9A50FE"/>
    <w:rsid w:val="20106833"/>
    <w:rsid w:val="21087E3B"/>
    <w:rsid w:val="21905185"/>
    <w:rsid w:val="21A1509F"/>
    <w:rsid w:val="21DB24CD"/>
    <w:rsid w:val="224C4E3A"/>
    <w:rsid w:val="22B42350"/>
    <w:rsid w:val="22E301F8"/>
    <w:rsid w:val="22F33E92"/>
    <w:rsid w:val="233E7FA2"/>
    <w:rsid w:val="23735220"/>
    <w:rsid w:val="24010173"/>
    <w:rsid w:val="24146CA8"/>
    <w:rsid w:val="2420557B"/>
    <w:rsid w:val="24254515"/>
    <w:rsid w:val="242C14C8"/>
    <w:rsid w:val="243533CD"/>
    <w:rsid w:val="246C7E90"/>
    <w:rsid w:val="249238C7"/>
    <w:rsid w:val="24ED6697"/>
    <w:rsid w:val="253F1603"/>
    <w:rsid w:val="2560698D"/>
    <w:rsid w:val="2562796B"/>
    <w:rsid w:val="25AD6E16"/>
    <w:rsid w:val="25F15F83"/>
    <w:rsid w:val="261B1B10"/>
    <w:rsid w:val="261B7DF3"/>
    <w:rsid w:val="2650271A"/>
    <w:rsid w:val="266A2220"/>
    <w:rsid w:val="26722978"/>
    <w:rsid w:val="26B33F6D"/>
    <w:rsid w:val="26C17181"/>
    <w:rsid w:val="271930ED"/>
    <w:rsid w:val="278E5400"/>
    <w:rsid w:val="279048C7"/>
    <w:rsid w:val="27A9778C"/>
    <w:rsid w:val="28735437"/>
    <w:rsid w:val="28B2209C"/>
    <w:rsid w:val="28B44864"/>
    <w:rsid w:val="28D12DD6"/>
    <w:rsid w:val="28D50FCB"/>
    <w:rsid w:val="29396904"/>
    <w:rsid w:val="296A3986"/>
    <w:rsid w:val="298F287E"/>
    <w:rsid w:val="2A641AB9"/>
    <w:rsid w:val="2A9D0D2B"/>
    <w:rsid w:val="2ACB3B4E"/>
    <w:rsid w:val="2ACD1EF2"/>
    <w:rsid w:val="2B042C2C"/>
    <w:rsid w:val="2B224373"/>
    <w:rsid w:val="2B494B55"/>
    <w:rsid w:val="2B6A3512"/>
    <w:rsid w:val="2BB12FB9"/>
    <w:rsid w:val="2BC026C6"/>
    <w:rsid w:val="2BC8469C"/>
    <w:rsid w:val="2BD914F5"/>
    <w:rsid w:val="2C034507"/>
    <w:rsid w:val="2C0809F5"/>
    <w:rsid w:val="2C216732"/>
    <w:rsid w:val="2C617AC7"/>
    <w:rsid w:val="2C6C44D4"/>
    <w:rsid w:val="2C8637B6"/>
    <w:rsid w:val="2C9B4CEF"/>
    <w:rsid w:val="2C9D5F7E"/>
    <w:rsid w:val="2CD04BAC"/>
    <w:rsid w:val="2CDA79DE"/>
    <w:rsid w:val="2D001864"/>
    <w:rsid w:val="2D0B328A"/>
    <w:rsid w:val="2D54435D"/>
    <w:rsid w:val="2E262AA8"/>
    <w:rsid w:val="2E8F60DF"/>
    <w:rsid w:val="2EB53C1B"/>
    <w:rsid w:val="2EF81394"/>
    <w:rsid w:val="2F254467"/>
    <w:rsid w:val="2F272C49"/>
    <w:rsid w:val="2F282D84"/>
    <w:rsid w:val="2F2D2976"/>
    <w:rsid w:val="2F4B037D"/>
    <w:rsid w:val="2F5270A7"/>
    <w:rsid w:val="2FD23C93"/>
    <w:rsid w:val="2FF64F04"/>
    <w:rsid w:val="303A47C4"/>
    <w:rsid w:val="30487A17"/>
    <w:rsid w:val="30E3788F"/>
    <w:rsid w:val="30E7709D"/>
    <w:rsid w:val="311F6861"/>
    <w:rsid w:val="312F0C69"/>
    <w:rsid w:val="313944C8"/>
    <w:rsid w:val="316044A8"/>
    <w:rsid w:val="31904DB1"/>
    <w:rsid w:val="31984D9F"/>
    <w:rsid w:val="319D15FC"/>
    <w:rsid w:val="31E27280"/>
    <w:rsid w:val="31F27B5A"/>
    <w:rsid w:val="31F87652"/>
    <w:rsid w:val="320347E5"/>
    <w:rsid w:val="320C69CD"/>
    <w:rsid w:val="321C2E7B"/>
    <w:rsid w:val="323548B1"/>
    <w:rsid w:val="323A4E3F"/>
    <w:rsid w:val="32476B26"/>
    <w:rsid w:val="328E3E87"/>
    <w:rsid w:val="32AC0031"/>
    <w:rsid w:val="334B629F"/>
    <w:rsid w:val="33713745"/>
    <w:rsid w:val="33A02D17"/>
    <w:rsid w:val="342F4105"/>
    <w:rsid w:val="348F2B43"/>
    <w:rsid w:val="34C9147F"/>
    <w:rsid w:val="34CE79DE"/>
    <w:rsid w:val="34D25DC1"/>
    <w:rsid w:val="3537134A"/>
    <w:rsid w:val="354B155D"/>
    <w:rsid w:val="35770E92"/>
    <w:rsid w:val="35AE55AD"/>
    <w:rsid w:val="35BB56F8"/>
    <w:rsid w:val="35E044EE"/>
    <w:rsid w:val="366A3844"/>
    <w:rsid w:val="367D1887"/>
    <w:rsid w:val="367E66DA"/>
    <w:rsid w:val="36C86ABB"/>
    <w:rsid w:val="370137E2"/>
    <w:rsid w:val="37241D28"/>
    <w:rsid w:val="37564768"/>
    <w:rsid w:val="375C1176"/>
    <w:rsid w:val="376B317C"/>
    <w:rsid w:val="37793A76"/>
    <w:rsid w:val="378766F8"/>
    <w:rsid w:val="37DC13CF"/>
    <w:rsid w:val="37E22DB7"/>
    <w:rsid w:val="37ED4F88"/>
    <w:rsid w:val="383832E4"/>
    <w:rsid w:val="38574ADB"/>
    <w:rsid w:val="387E28F5"/>
    <w:rsid w:val="389535E1"/>
    <w:rsid w:val="38DE5617"/>
    <w:rsid w:val="38E61BC5"/>
    <w:rsid w:val="38EA5A1B"/>
    <w:rsid w:val="39074D43"/>
    <w:rsid w:val="391E2CA4"/>
    <w:rsid w:val="39330B49"/>
    <w:rsid w:val="399D3D24"/>
    <w:rsid w:val="3A4166FE"/>
    <w:rsid w:val="3A495954"/>
    <w:rsid w:val="3A512766"/>
    <w:rsid w:val="3A595C46"/>
    <w:rsid w:val="3AD309B9"/>
    <w:rsid w:val="3AF64BFC"/>
    <w:rsid w:val="3B300625"/>
    <w:rsid w:val="3B8169F6"/>
    <w:rsid w:val="3C1D2BD6"/>
    <w:rsid w:val="3C7042E8"/>
    <w:rsid w:val="3CA25B99"/>
    <w:rsid w:val="3CB70157"/>
    <w:rsid w:val="3D031065"/>
    <w:rsid w:val="3D642ABF"/>
    <w:rsid w:val="3D7045B5"/>
    <w:rsid w:val="3D94460E"/>
    <w:rsid w:val="3DD10FB1"/>
    <w:rsid w:val="3DE6740A"/>
    <w:rsid w:val="3E1E12D3"/>
    <w:rsid w:val="3E3B6EDE"/>
    <w:rsid w:val="3E961597"/>
    <w:rsid w:val="3F073B8B"/>
    <w:rsid w:val="3F1F33E6"/>
    <w:rsid w:val="3F3D6764"/>
    <w:rsid w:val="3F8D541B"/>
    <w:rsid w:val="3FA97BA0"/>
    <w:rsid w:val="3FAE1341"/>
    <w:rsid w:val="3FB94AED"/>
    <w:rsid w:val="4035314E"/>
    <w:rsid w:val="407A73B5"/>
    <w:rsid w:val="40CE0EEE"/>
    <w:rsid w:val="414D18E4"/>
    <w:rsid w:val="41776A60"/>
    <w:rsid w:val="41FA7FE9"/>
    <w:rsid w:val="42062438"/>
    <w:rsid w:val="421D5F42"/>
    <w:rsid w:val="42320BCB"/>
    <w:rsid w:val="42870F2E"/>
    <w:rsid w:val="42B31D60"/>
    <w:rsid w:val="42CA75EF"/>
    <w:rsid w:val="42CC1A54"/>
    <w:rsid w:val="42DC5A59"/>
    <w:rsid w:val="431E4A21"/>
    <w:rsid w:val="432B0617"/>
    <w:rsid w:val="43520CF5"/>
    <w:rsid w:val="438E1236"/>
    <w:rsid w:val="43BD5CAB"/>
    <w:rsid w:val="43D3270A"/>
    <w:rsid w:val="43E10432"/>
    <w:rsid w:val="43E43644"/>
    <w:rsid w:val="44142F4C"/>
    <w:rsid w:val="44185E94"/>
    <w:rsid w:val="441F7EFA"/>
    <w:rsid w:val="44293ED5"/>
    <w:rsid w:val="44780105"/>
    <w:rsid w:val="45171CD0"/>
    <w:rsid w:val="45C1748B"/>
    <w:rsid w:val="46130A4E"/>
    <w:rsid w:val="465362AE"/>
    <w:rsid w:val="465932A3"/>
    <w:rsid w:val="46786DB5"/>
    <w:rsid w:val="46BA357F"/>
    <w:rsid w:val="46D60411"/>
    <w:rsid w:val="46E6402E"/>
    <w:rsid w:val="46EE3553"/>
    <w:rsid w:val="46FE28E4"/>
    <w:rsid w:val="473547C6"/>
    <w:rsid w:val="47383FE0"/>
    <w:rsid w:val="47AD2997"/>
    <w:rsid w:val="47DB24A6"/>
    <w:rsid w:val="47E418E3"/>
    <w:rsid w:val="482E4BB5"/>
    <w:rsid w:val="48436B85"/>
    <w:rsid w:val="48A73EFF"/>
    <w:rsid w:val="48C25618"/>
    <w:rsid w:val="48E15A28"/>
    <w:rsid w:val="49186AFA"/>
    <w:rsid w:val="4919359E"/>
    <w:rsid w:val="492434DC"/>
    <w:rsid w:val="493352EF"/>
    <w:rsid w:val="497F5A10"/>
    <w:rsid w:val="49910516"/>
    <w:rsid w:val="49CC71C9"/>
    <w:rsid w:val="49ED22B7"/>
    <w:rsid w:val="4A502A61"/>
    <w:rsid w:val="4A8E3649"/>
    <w:rsid w:val="4A9F61B7"/>
    <w:rsid w:val="4AA645F7"/>
    <w:rsid w:val="4ACD5617"/>
    <w:rsid w:val="4AE038E0"/>
    <w:rsid w:val="4AE5588E"/>
    <w:rsid w:val="4B304358"/>
    <w:rsid w:val="4B567E60"/>
    <w:rsid w:val="4B642F1D"/>
    <w:rsid w:val="4B750F75"/>
    <w:rsid w:val="4BFB69E7"/>
    <w:rsid w:val="4C2544D5"/>
    <w:rsid w:val="4C556420"/>
    <w:rsid w:val="4CDE109D"/>
    <w:rsid w:val="4CF927E1"/>
    <w:rsid w:val="4D8932D3"/>
    <w:rsid w:val="4D8E7F56"/>
    <w:rsid w:val="4D9A5C6E"/>
    <w:rsid w:val="4E3C4EAE"/>
    <w:rsid w:val="4EF44C47"/>
    <w:rsid w:val="4F3212DE"/>
    <w:rsid w:val="4F385E0A"/>
    <w:rsid w:val="4F61082C"/>
    <w:rsid w:val="4F6201D2"/>
    <w:rsid w:val="4F7B5D28"/>
    <w:rsid w:val="4F82699E"/>
    <w:rsid w:val="4FD84819"/>
    <w:rsid w:val="4FEA6623"/>
    <w:rsid w:val="4FED2400"/>
    <w:rsid w:val="4FF36D2B"/>
    <w:rsid w:val="4FFD6A98"/>
    <w:rsid w:val="4FFD7DF5"/>
    <w:rsid w:val="501E2F59"/>
    <w:rsid w:val="502D34E2"/>
    <w:rsid w:val="5043054D"/>
    <w:rsid w:val="505B5888"/>
    <w:rsid w:val="506C308E"/>
    <w:rsid w:val="509125CE"/>
    <w:rsid w:val="50B207D7"/>
    <w:rsid w:val="50DB4287"/>
    <w:rsid w:val="512277FD"/>
    <w:rsid w:val="51262440"/>
    <w:rsid w:val="519E3DA7"/>
    <w:rsid w:val="51B549B9"/>
    <w:rsid w:val="523342F2"/>
    <w:rsid w:val="525F31E7"/>
    <w:rsid w:val="527B0B1F"/>
    <w:rsid w:val="528B39FD"/>
    <w:rsid w:val="52A90379"/>
    <w:rsid w:val="52E67FF2"/>
    <w:rsid w:val="5337334B"/>
    <w:rsid w:val="53967037"/>
    <w:rsid w:val="53D96C55"/>
    <w:rsid w:val="53EB0912"/>
    <w:rsid w:val="540957F7"/>
    <w:rsid w:val="54422353"/>
    <w:rsid w:val="54424352"/>
    <w:rsid w:val="54832B56"/>
    <w:rsid w:val="54956F08"/>
    <w:rsid w:val="549B4C2C"/>
    <w:rsid w:val="54AB1691"/>
    <w:rsid w:val="55102FB4"/>
    <w:rsid w:val="55A90B20"/>
    <w:rsid w:val="55B8563E"/>
    <w:rsid w:val="56341948"/>
    <w:rsid w:val="563B0A29"/>
    <w:rsid w:val="56D54A0C"/>
    <w:rsid w:val="578458F4"/>
    <w:rsid w:val="578C435A"/>
    <w:rsid w:val="57B175D9"/>
    <w:rsid w:val="57C15632"/>
    <w:rsid w:val="57D372BC"/>
    <w:rsid w:val="583F45A7"/>
    <w:rsid w:val="585A305D"/>
    <w:rsid w:val="58CF00E7"/>
    <w:rsid w:val="58F85C72"/>
    <w:rsid w:val="59251729"/>
    <w:rsid w:val="594C638B"/>
    <w:rsid w:val="59907CA7"/>
    <w:rsid w:val="59955B66"/>
    <w:rsid w:val="59A36002"/>
    <w:rsid w:val="59B20FE0"/>
    <w:rsid w:val="59B47F65"/>
    <w:rsid w:val="5A36196E"/>
    <w:rsid w:val="5A6B1021"/>
    <w:rsid w:val="5A70245C"/>
    <w:rsid w:val="5A8F7243"/>
    <w:rsid w:val="5AC93F2B"/>
    <w:rsid w:val="5ACD7F13"/>
    <w:rsid w:val="5ADB03E8"/>
    <w:rsid w:val="5AF145A2"/>
    <w:rsid w:val="5B487331"/>
    <w:rsid w:val="5B616612"/>
    <w:rsid w:val="5BDC768A"/>
    <w:rsid w:val="5C0F0F28"/>
    <w:rsid w:val="5C5B30A7"/>
    <w:rsid w:val="5C6E3909"/>
    <w:rsid w:val="5CC83165"/>
    <w:rsid w:val="5CE15BDF"/>
    <w:rsid w:val="5D2A3CA3"/>
    <w:rsid w:val="5D3B36A5"/>
    <w:rsid w:val="5D513588"/>
    <w:rsid w:val="5D625D3A"/>
    <w:rsid w:val="5D6D6982"/>
    <w:rsid w:val="5D952B69"/>
    <w:rsid w:val="5D96081F"/>
    <w:rsid w:val="5DEB5BAE"/>
    <w:rsid w:val="5E173CDE"/>
    <w:rsid w:val="5E257B56"/>
    <w:rsid w:val="5E3007B2"/>
    <w:rsid w:val="5E566AB6"/>
    <w:rsid w:val="5E650982"/>
    <w:rsid w:val="5E831E6A"/>
    <w:rsid w:val="5F54566F"/>
    <w:rsid w:val="5F5F0B69"/>
    <w:rsid w:val="5FF03A3A"/>
    <w:rsid w:val="603F71BF"/>
    <w:rsid w:val="60556045"/>
    <w:rsid w:val="60F43B54"/>
    <w:rsid w:val="610E6F66"/>
    <w:rsid w:val="61133825"/>
    <w:rsid w:val="611D35D4"/>
    <w:rsid w:val="61BA5579"/>
    <w:rsid w:val="6302497D"/>
    <w:rsid w:val="636218CF"/>
    <w:rsid w:val="63793A6F"/>
    <w:rsid w:val="63BB7A12"/>
    <w:rsid w:val="63D77C6A"/>
    <w:rsid w:val="63DA2191"/>
    <w:rsid w:val="641165F0"/>
    <w:rsid w:val="644844CA"/>
    <w:rsid w:val="64D911C7"/>
    <w:rsid w:val="64F655F9"/>
    <w:rsid w:val="650A1122"/>
    <w:rsid w:val="65193696"/>
    <w:rsid w:val="65A07E57"/>
    <w:rsid w:val="667B4F9D"/>
    <w:rsid w:val="66DA3678"/>
    <w:rsid w:val="67D84AF4"/>
    <w:rsid w:val="67FE1B83"/>
    <w:rsid w:val="68184611"/>
    <w:rsid w:val="688B2363"/>
    <w:rsid w:val="68E67957"/>
    <w:rsid w:val="69387E5F"/>
    <w:rsid w:val="694236C2"/>
    <w:rsid w:val="696262A4"/>
    <w:rsid w:val="69D82527"/>
    <w:rsid w:val="69E222D6"/>
    <w:rsid w:val="69F46FE6"/>
    <w:rsid w:val="6ACC5EE0"/>
    <w:rsid w:val="6B062B06"/>
    <w:rsid w:val="6B1D7457"/>
    <w:rsid w:val="6B537D96"/>
    <w:rsid w:val="6C5B6CAB"/>
    <w:rsid w:val="6C915FBE"/>
    <w:rsid w:val="6C926DF5"/>
    <w:rsid w:val="6CD47285"/>
    <w:rsid w:val="6CFB657C"/>
    <w:rsid w:val="6D2D6858"/>
    <w:rsid w:val="6DB601E9"/>
    <w:rsid w:val="6DC4456C"/>
    <w:rsid w:val="6DDA4291"/>
    <w:rsid w:val="6E1657D0"/>
    <w:rsid w:val="6E2D519E"/>
    <w:rsid w:val="6E8F088E"/>
    <w:rsid w:val="6EE77479"/>
    <w:rsid w:val="6F700FBD"/>
    <w:rsid w:val="6FAC34B9"/>
    <w:rsid w:val="700F3066"/>
    <w:rsid w:val="70D44CF7"/>
    <w:rsid w:val="713A63CA"/>
    <w:rsid w:val="71712A24"/>
    <w:rsid w:val="71E93519"/>
    <w:rsid w:val="71EA7148"/>
    <w:rsid w:val="71F017D3"/>
    <w:rsid w:val="72560F49"/>
    <w:rsid w:val="726F6A9C"/>
    <w:rsid w:val="72833CDD"/>
    <w:rsid w:val="72D772E2"/>
    <w:rsid w:val="72DD5FF1"/>
    <w:rsid w:val="73436003"/>
    <w:rsid w:val="736F2C89"/>
    <w:rsid w:val="73FE6EBD"/>
    <w:rsid w:val="74360681"/>
    <w:rsid w:val="747143DC"/>
    <w:rsid w:val="756B1E23"/>
    <w:rsid w:val="75A276FE"/>
    <w:rsid w:val="765A6136"/>
    <w:rsid w:val="766760DE"/>
    <w:rsid w:val="76B01044"/>
    <w:rsid w:val="76C461CA"/>
    <w:rsid w:val="76E47376"/>
    <w:rsid w:val="77086000"/>
    <w:rsid w:val="77351576"/>
    <w:rsid w:val="775154EC"/>
    <w:rsid w:val="77693F39"/>
    <w:rsid w:val="77EB3071"/>
    <w:rsid w:val="784A134B"/>
    <w:rsid w:val="788B487C"/>
    <w:rsid w:val="789E0708"/>
    <w:rsid w:val="78A40A3A"/>
    <w:rsid w:val="78AB2BC7"/>
    <w:rsid w:val="78EA5ABA"/>
    <w:rsid w:val="790D34E7"/>
    <w:rsid w:val="79230FC5"/>
    <w:rsid w:val="79EB4D57"/>
    <w:rsid w:val="7A8A0ECD"/>
    <w:rsid w:val="7AA67E62"/>
    <w:rsid w:val="7AB65237"/>
    <w:rsid w:val="7B513AE5"/>
    <w:rsid w:val="7B5A2C29"/>
    <w:rsid w:val="7BBD65C7"/>
    <w:rsid w:val="7BE44D4F"/>
    <w:rsid w:val="7C420611"/>
    <w:rsid w:val="7C8A4C1E"/>
    <w:rsid w:val="7C946F5F"/>
    <w:rsid w:val="7C9A64A0"/>
    <w:rsid w:val="7CBA7F38"/>
    <w:rsid w:val="7D295286"/>
    <w:rsid w:val="7D2C2A2A"/>
    <w:rsid w:val="7D524F38"/>
    <w:rsid w:val="7D5C00D4"/>
    <w:rsid w:val="7DA4016C"/>
    <w:rsid w:val="7DDF0FED"/>
    <w:rsid w:val="7E13443A"/>
    <w:rsid w:val="7E792BBA"/>
    <w:rsid w:val="7E864289"/>
    <w:rsid w:val="7EA260E2"/>
    <w:rsid w:val="7EE263CD"/>
    <w:rsid w:val="7EE723A9"/>
    <w:rsid w:val="7F4F047F"/>
    <w:rsid w:val="7F633E05"/>
    <w:rsid w:val="7F9019CB"/>
    <w:rsid w:val="7F9462CE"/>
    <w:rsid w:val="7FCE6F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napToGrid w:val="0"/>
      <w:spacing w:line="360" w:lineRule="auto"/>
      <w:outlineLvl w:val="0"/>
    </w:pPr>
    <w:rPr>
      <w:rFonts w:eastAsia="黑体"/>
      <w:kern w:val="44"/>
      <w:sz w:val="28"/>
    </w:rPr>
  </w:style>
  <w:style w:type="paragraph" w:styleId="3">
    <w:name w:val="heading 2"/>
    <w:basedOn w:val="1"/>
    <w:next w:val="1"/>
    <w:qFormat/>
    <w:uiPriority w:val="99"/>
    <w:pPr>
      <w:autoSpaceDE w:val="0"/>
      <w:autoSpaceDN w:val="0"/>
      <w:jc w:val="center"/>
      <w:outlineLvl w:val="1"/>
    </w:pPr>
    <w:rPr>
      <w:rFonts w:ascii="仿宋" w:hAnsi="仿宋" w:eastAsia="仿宋" w:cs="宋体"/>
      <w:b/>
      <w:bCs/>
      <w:kern w:val="0"/>
      <w:sz w:val="24"/>
    </w:rPr>
  </w:style>
  <w:style w:type="paragraph" w:styleId="4">
    <w:name w:val="heading 3"/>
    <w:basedOn w:val="1"/>
    <w:next w:val="1"/>
    <w:qFormat/>
    <w:uiPriority w:val="0"/>
    <w:pPr>
      <w:keepNext/>
      <w:keepLines/>
      <w:numPr>
        <w:ilvl w:val="2"/>
        <w:numId w:val="1"/>
      </w:numPr>
      <w:spacing w:before="260" w:after="260" w:line="413" w:lineRule="auto"/>
      <w:outlineLvl w:val="2"/>
    </w:pPr>
    <w:rPr>
      <w:b/>
      <w:sz w:val="32"/>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caption"/>
    <w:basedOn w:val="1"/>
    <w:next w:val="1"/>
    <w:qFormat/>
    <w:uiPriority w:val="0"/>
    <w:pPr>
      <w:widowControl/>
      <w:jc w:val="left"/>
    </w:pPr>
    <w:rPr>
      <w:rFonts w:ascii="Calibri" w:hAnsi="Calibri"/>
      <w:b/>
      <w:bCs/>
      <w:color w:val="2DA2BF"/>
      <w:kern w:val="0"/>
      <w:sz w:val="18"/>
      <w:szCs w:val="18"/>
    </w:rPr>
  </w:style>
  <w:style w:type="paragraph" w:styleId="7">
    <w:name w:val="annotation text"/>
    <w:basedOn w:val="1"/>
    <w:link w:val="30"/>
    <w:qFormat/>
    <w:uiPriority w:val="0"/>
    <w:pPr>
      <w:jc w:val="left"/>
    </w:pPr>
  </w:style>
  <w:style w:type="paragraph" w:styleId="8">
    <w:name w:val="Body Text"/>
    <w:basedOn w:val="1"/>
    <w:next w:val="1"/>
    <w:qFormat/>
    <w:uiPriority w:val="0"/>
    <w:rPr>
      <w:rFonts w:ascii="仿宋_GB2312" w:hAnsi="Calibri" w:eastAsia="仿宋_GB2312"/>
      <w:sz w:val="24"/>
    </w:rPr>
  </w:style>
  <w:style w:type="paragraph" w:styleId="9">
    <w:name w:val="Body Text Indent"/>
    <w:basedOn w:val="1"/>
    <w:qFormat/>
    <w:uiPriority w:val="0"/>
    <w:pPr>
      <w:snapToGrid w:val="0"/>
      <w:spacing w:before="120" w:line="360" w:lineRule="atLeast"/>
      <w:ind w:firstLine="539"/>
    </w:pPr>
    <w:rPr>
      <w:sz w:val="24"/>
    </w:rPr>
  </w:style>
  <w:style w:type="paragraph" w:styleId="10">
    <w:name w:val="Block Text"/>
    <w:basedOn w:val="1"/>
    <w:qFormat/>
    <w:uiPriority w:val="0"/>
    <w:pPr>
      <w:adjustRightInd w:val="0"/>
      <w:snapToGrid w:val="0"/>
      <w:spacing w:line="490" w:lineRule="atLeast"/>
      <w:ind w:left="10" w:leftChars="5" w:right="-449" w:rightChars="-214" w:firstLine="560" w:firstLineChars="200"/>
    </w:pPr>
    <w:rPr>
      <w:color w:val="000000"/>
      <w:sz w:val="28"/>
    </w:rPr>
  </w:style>
  <w:style w:type="paragraph" w:styleId="11">
    <w:name w:val="toc 3"/>
    <w:basedOn w:val="1"/>
    <w:next w:val="1"/>
    <w:unhideWhenUsed/>
    <w:uiPriority w:val="39"/>
    <w:pPr>
      <w:ind w:left="840" w:leftChars="400"/>
    </w:pPr>
  </w:style>
  <w:style w:type="paragraph" w:styleId="12">
    <w:name w:val="Plain Text"/>
    <w:basedOn w:val="1"/>
    <w:qFormat/>
    <w:uiPriority w:val="0"/>
    <w:pPr>
      <w:adjustRightInd w:val="0"/>
      <w:spacing w:before="120" w:line="400" w:lineRule="exact"/>
      <w:textAlignment w:val="baseline"/>
    </w:pPr>
    <w:rPr>
      <w:rFonts w:ascii="宋体"/>
      <w:spacing w:val="-2"/>
      <w:kern w:val="28"/>
    </w:rPr>
  </w:style>
  <w:style w:type="paragraph" w:styleId="13">
    <w:name w:val="List Bullet 5"/>
    <w:basedOn w:val="1"/>
    <w:unhideWhenUsed/>
    <w:qFormat/>
    <w:uiPriority w:val="99"/>
    <w:pPr>
      <w:numPr>
        <w:ilvl w:val="0"/>
        <w:numId w:val="2"/>
      </w:numPr>
    </w:pPr>
  </w:style>
  <w:style w:type="paragraph" w:styleId="14">
    <w:name w:val="footer"/>
    <w:basedOn w:val="1"/>
    <w:link w:val="31"/>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16">
    <w:name w:val="toc 1"/>
    <w:basedOn w:val="1"/>
    <w:next w:val="1"/>
    <w:qFormat/>
    <w:uiPriority w:val="39"/>
    <w:pPr>
      <w:tabs>
        <w:tab w:val="right" w:leader="dot" w:pos="9176"/>
      </w:tabs>
      <w:spacing w:before="120" w:after="120"/>
      <w:jc w:val="left"/>
    </w:pPr>
    <w:rPr>
      <w:rFonts w:ascii="仿宋_GB2312" w:hAnsi="Calibri" w:eastAsia="仿宋_GB2312" w:cs="Calibri"/>
      <w:bCs/>
      <w:caps/>
      <w:sz w:val="24"/>
    </w:rPr>
  </w:style>
  <w:style w:type="paragraph" w:styleId="17">
    <w:name w:val="toc 4"/>
    <w:basedOn w:val="1"/>
    <w:next w:val="1"/>
    <w:qFormat/>
    <w:uiPriority w:val="0"/>
    <w:pPr>
      <w:jc w:val="center"/>
    </w:pPr>
    <w:rPr>
      <w:szCs w:val="21"/>
    </w:rPr>
  </w:style>
  <w:style w:type="paragraph" w:styleId="18">
    <w:name w:val="List"/>
    <w:basedOn w:val="1"/>
    <w:qFormat/>
    <w:uiPriority w:val="0"/>
    <w:pPr>
      <w:ind w:left="200" w:hanging="200" w:hangingChars="200"/>
    </w:pPr>
  </w:style>
  <w:style w:type="paragraph" w:styleId="19">
    <w:name w:val="toc 2"/>
    <w:basedOn w:val="1"/>
    <w:next w:val="1"/>
    <w:unhideWhenUsed/>
    <w:qFormat/>
    <w:uiPriority w:val="39"/>
    <w:pPr>
      <w:ind w:left="420" w:leftChars="200"/>
    </w:pPr>
  </w:style>
  <w:style w:type="paragraph" w:styleId="20">
    <w:name w:val="Normal (Web)"/>
    <w:basedOn w:val="1"/>
    <w:link w:val="33"/>
    <w:qFormat/>
    <w:uiPriority w:val="0"/>
    <w:pPr>
      <w:widowControl/>
      <w:spacing w:before="100" w:beforeAutospacing="1" w:after="100" w:afterAutospacing="1"/>
      <w:jc w:val="left"/>
    </w:pPr>
    <w:rPr>
      <w:rFonts w:ascii="宋体" w:hAnsi="宋体" w:cs="Times New Roman"/>
      <w:sz w:val="24"/>
      <w:szCs w:val="22"/>
    </w:rPr>
  </w:style>
  <w:style w:type="paragraph" w:styleId="21">
    <w:name w:val="annotation subject"/>
    <w:basedOn w:val="7"/>
    <w:next w:val="7"/>
    <w:link w:val="34"/>
    <w:unhideWhenUsed/>
    <w:qFormat/>
    <w:uiPriority w:val="99"/>
    <w:rPr>
      <w:b/>
      <w:bCs/>
    </w:rPr>
  </w:style>
  <w:style w:type="paragraph" w:styleId="22">
    <w:name w:val="Body Text First Indent"/>
    <w:basedOn w:val="8"/>
    <w:qFormat/>
    <w:uiPriority w:val="0"/>
    <w:pPr>
      <w:ind w:firstLine="420" w:firstLineChars="100"/>
    </w:pPr>
    <w:rPr>
      <w:rFonts w:ascii="Calibri"/>
      <w:szCs w:val="22"/>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basedOn w:val="25"/>
    <w:qFormat/>
    <w:uiPriority w:val="22"/>
    <w:rPr>
      <w:b/>
    </w:rPr>
  </w:style>
  <w:style w:type="character" w:styleId="27">
    <w:name w:val="page number"/>
    <w:qFormat/>
    <w:uiPriority w:val="0"/>
  </w:style>
  <w:style w:type="character" w:styleId="28">
    <w:name w:val="Hyperlink"/>
    <w:unhideWhenUsed/>
    <w:qFormat/>
    <w:uiPriority w:val="99"/>
    <w:rPr>
      <w:color w:val="0563C1"/>
      <w:u w:val="single"/>
    </w:rPr>
  </w:style>
  <w:style w:type="character" w:styleId="29">
    <w:name w:val="annotation reference"/>
    <w:qFormat/>
    <w:uiPriority w:val="0"/>
    <w:rPr>
      <w:sz w:val="21"/>
    </w:rPr>
  </w:style>
  <w:style w:type="character" w:customStyle="1" w:styleId="30">
    <w:name w:val="批注文字 字符"/>
    <w:link w:val="7"/>
    <w:qFormat/>
    <w:uiPriority w:val="0"/>
    <w:rPr>
      <w:kern w:val="2"/>
      <w:sz w:val="21"/>
      <w:szCs w:val="24"/>
    </w:rPr>
  </w:style>
  <w:style w:type="character" w:customStyle="1" w:styleId="31">
    <w:name w:val="页脚 字符"/>
    <w:link w:val="14"/>
    <w:qFormat/>
    <w:uiPriority w:val="99"/>
    <w:rPr>
      <w:sz w:val="18"/>
      <w:szCs w:val="18"/>
    </w:rPr>
  </w:style>
  <w:style w:type="character" w:customStyle="1" w:styleId="32">
    <w:name w:val="页眉 字符"/>
    <w:link w:val="15"/>
    <w:qFormat/>
    <w:uiPriority w:val="99"/>
    <w:rPr>
      <w:sz w:val="18"/>
      <w:szCs w:val="18"/>
    </w:rPr>
  </w:style>
  <w:style w:type="character" w:customStyle="1" w:styleId="33">
    <w:name w:val="普通(网站) 字符"/>
    <w:link w:val="20"/>
    <w:qFormat/>
    <w:locked/>
    <w:uiPriority w:val="0"/>
    <w:rPr>
      <w:rFonts w:ascii="宋体" w:hAnsi="宋体" w:eastAsia="宋体"/>
      <w:sz w:val="24"/>
    </w:rPr>
  </w:style>
  <w:style w:type="character" w:customStyle="1" w:styleId="34">
    <w:name w:val="批注主题 字符"/>
    <w:link w:val="21"/>
    <w:semiHidden/>
    <w:qFormat/>
    <w:uiPriority w:val="99"/>
    <w:rPr>
      <w:b/>
      <w:bCs/>
      <w:kern w:val="2"/>
      <w:sz w:val="21"/>
      <w:szCs w:val="24"/>
    </w:rPr>
  </w:style>
  <w:style w:type="paragraph" w:customStyle="1" w:styleId="35">
    <w:name w:val="表格标题"/>
    <w:basedOn w:val="36"/>
    <w:qFormat/>
    <w:uiPriority w:val="0"/>
    <w:pPr>
      <w:spacing w:before="20" w:beforeLines="20" w:after="20" w:afterLines="20" w:line="240" w:lineRule="auto"/>
    </w:pPr>
    <w:rPr>
      <w:rFonts w:ascii="Times New Roman" w:hAnsi="Times New Roman"/>
      <w:b/>
      <w:szCs w:val="24"/>
    </w:rPr>
  </w:style>
  <w:style w:type="paragraph" w:customStyle="1" w:styleId="36">
    <w:name w:val="列表1"/>
    <w:basedOn w:val="1"/>
    <w:qFormat/>
    <w:uiPriority w:val="0"/>
    <w:pPr>
      <w:spacing w:line="400" w:lineRule="exact"/>
      <w:jc w:val="center"/>
    </w:pPr>
    <w:rPr>
      <w:rFonts w:ascii="宋体" w:hAnsi="宋体" w:eastAsia="仿宋_GB2312"/>
      <w:sz w:val="24"/>
      <w:szCs w:val="20"/>
    </w:rPr>
  </w:style>
  <w:style w:type="character" w:customStyle="1" w:styleId="37">
    <w:name w:val="页脚 字符1"/>
    <w:qFormat/>
    <w:locked/>
    <w:uiPriority w:val="99"/>
    <w:rPr>
      <w:sz w:val="18"/>
    </w:rPr>
  </w:style>
  <w:style w:type="character" w:customStyle="1" w:styleId="38">
    <w:name w:val="表格 Char"/>
    <w:link w:val="39"/>
    <w:qFormat/>
    <w:locked/>
    <w:uiPriority w:val="0"/>
    <w:rPr>
      <w:rFonts w:ascii="宋体"/>
    </w:rPr>
  </w:style>
  <w:style w:type="paragraph" w:customStyle="1" w:styleId="39">
    <w:name w:val="表格"/>
    <w:basedOn w:val="1"/>
    <w:next w:val="1"/>
    <w:link w:val="38"/>
    <w:qFormat/>
    <w:uiPriority w:val="0"/>
    <w:pPr>
      <w:adjustRightInd w:val="0"/>
      <w:snapToGrid w:val="0"/>
      <w:spacing w:beforeLines="10" w:afterLines="10" w:line="259" w:lineRule="auto"/>
      <w:jc w:val="center"/>
    </w:pPr>
    <w:rPr>
      <w:rFonts w:ascii="宋体" w:hAnsi="等线" w:eastAsia="等线" w:cs="Times New Roman"/>
      <w:szCs w:val="22"/>
    </w:rPr>
  </w:style>
  <w:style w:type="paragraph" w:customStyle="1" w:styleId="40">
    <w:name w:val="报告表正文"/>
    <w:basedOn w:val="36"/>
    <w:qFormat/>
    <w:uiPriority w:val="0"/>
    <w:pPr>
      <w:ind w:firstLine="200" w:firstLineChars="200"/>
      <w:jc w:val="left"/>
    </w:pPr>
    <w:rPr>
      <w:rFonts w:ascii="Times New Roman" w:hAnsi="Times New Roman"/>
      <w:szCs w:val="24"/>
    </w:rPr>
  </w:style>
  <w:style w:type="paragraph" w:customStyle="1" w:styleId="41">
    <w:name w:val="111正文"/>
    <w:basedOn w:val="1"/>
    <w:qFormat/>
    <w:uiPriority w:val="0"/>
    <w:pPr>
      <w:tabs>
        <w:tab w:val="left" w:pos="600"/>
      </w:tabs>
      <w:spacing w:line="360" w:lineRule="auto"/>
      <w:ind w:firstLine="200" w:firstLineChars="200"/>
    </w:pPr>
    <w:rPr>
      <w:kern w:val="0"/>
      <w:sz w:val="24"/>
      <w:szCs w:val="22"/>
    </w:rPr>
  </w:style>
  <w:style w:type="paragraph" w:customStyle="1" w:styleId="42">
    <w:name w:val="Default"/>
    <w:next w:val="1"/>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43">
    <w:name w:val="正本文字"/>
    <w:basedOn w:val="1"/>
    <w:qFormat/>
    <w:uiPriority w:val="0"/>
    <w:pPr>
      <w:adjustRightInd w:val="0"/>
      <w:snapToGrid w:val="0"/>
      <w:spacing w:line="360" w:lineRule="auto"/>
      <w:ind w:firstLine="200" w:firstLineChars="200"/>
      <w:jc w:val="left"/>
    </w:pPr>
    <w:rPr>
      <w:kern w:val="18"/>
      <w:sz w:val="24"/>
    </w:rPr>
  </w:style>
  <w:style w:type="paragraph" w:customStyle="1" w:styleId="44">
    <w:name w:val="1表格"/>
    <w:basedOn w:val="1"/>
    <w:qFormat/>
    <w:uiPriority w:val="0"/>
    <w:pPr>
      <w:spacing w:line="160" w:lineRule="atLeast"/>
      <w:jc w:val="center"/>
    </w:pPr>
    <w:rPr>
      <w:rFonts w:eastAsia="仿宋_GB2312"/>
    </w:rPr>
  </w:style>
  <w:style w:type="paragraph" w:customStyle="1" w:styleId="45">
    <w:name w:val="正文加粗"/>
    <w:basedOn w:val="40"/>
    <w:qFormat/>
    <w:uiPriority w:val="0"/>
    <w:pPr>
      <w:ind w:firstLine="482"/>
    </w:pPr>
    <w:rPr>
      <w:b/>
      <w:snapToGrid w:val="0"/>
    </w:rPr>
  </w:style>
  <w:style w:type="paragraph" w:customStyle="1" w:styleId="46">
    <w:name w:val="图表 标题"/>
    <w:qFormat/>
    <w:uiPriority w:val="0"/>
    <w:pPr>
      <w:widowControl w:val="0"/>
      <w:spacing w:beforeLines="20" w:afterLines="20"/>
      <w:jc w:val="center"/>
    </w:pPr>
    <w:rPr>
      <w:rFonts w:ascii="Times New Roman" w:hAnsi="Times New Roman" w:eastAsia="仿宋_GB2312" w:cs="Times New Roman"/>
      <w:b/>
      <w:kern w:val="2"/>
      <w:sz w:val="24"/>
      <w:szCs w:val="24"/>
      <w:lang w:val="en-US" w:eastAsia="zh-CN" w:bidi="ar-SA"/>
    </w:rPr>
  </w:style>
  <w:style w:type="paragraph" w:customStyle="1" w:styleId="47">
    <w:name w:val="表格 首行文字"/>
    <w:qFormat/>
    <w:uiPriority w:val="0"/>
    <w:pPr>
      <w:adjustRightInd w:val="0"/>
      <w:snapToGrid w:val="0"/>
      <w:jc w:val="center"/>
    </w:pPr>
    <w:rPr>
      <w:rFonts w:ascii="Times New Roman" w:hAnsi="Times New Roman" w:eastAsia="仿宋_GB2312" w:cs="Times New Roman"/>
      <w:b/>
      <w:kern w:val="2"/>
      <w:sz w:val="21"/>
      <w:szCs w:val="22"/>
      <w:lang w:val="en-US" w:eastAsia="zh-CN" w:bidi="ar-SA"/>
    </w:rPr>
  </w:style>
  <w:style w:type="paragraph" w:customStyle="1" w:styleId="48">
    <w:name w:val="表格普通"/>
    <w:basedOn w:val="1"/>
    <w:qFormat/>
    <w:uiPriority w:val="0"/>
    <w:pPr>
      <w:jc w:val="center"/>
    </w:pPr>
    <w:rPr>
      <w:rFonts w:eastAsia="仿宋_GB2312"/>
      <w:szCs w:val="21"/>
    </w:rPr>
  </w:style>
  <w:style w:type="paragraph" w:customStyle="1" w:styleId="49">
    <w:name w:val="Table Paragraph"/>
    <w:basedOn w:val="1"/>
    <w:qFormat/>
    <w:uiPriority w:val="1"/>
    <w:pPr>
      <w:autoSpaceDE w:val="0"/>
      <w:autoSpaceDN w:val="0"/>
    </w:pPr>
    <w:rPr>
      <w:rFonts w:ascii="宋体" w:cs="宋体"/>
      <w:sz w:val="24"/>
    </w:rPr>
  </w:style>
  <w:style w:type="paragraph" w:customStyle="1" w:styleId="50">
    <w:name w:val="表格首行"/>
    <w:basedOn w:val="1"/>
    <w:qFormat/>
    <w:uiPriority w:val="0"/>
    <w:pPr>
      <w:jc w:val="center"/>
    </w:pPr>
    <w:rPr>
      <w:rFonts w:eastAsia="仿宋_GB2312"/>
      <w:b/>
      <w:szCs w:val="21"/>
    </w:rPr>
  </w:style>
  <w:style w:type="paragraph" w:customStyle="1" w:styleId="51">
    <w:name w:val="表格 普通文字"/>
    <w:qFormat/>
    <w:uiPriority w:val="99"/>
    <w:pPr>
      <w:jc w:val="center"/>
    </w:pPr>
    <w:rPr>
      <w:rFonts w:ascii="Times New Roman" w:hAnsi="Times New Roman" w:eastAsia="仿宋_GB2312" w:cs="Times New Roman"/>
      <w:kern w:val="2"/>
      <w:sz w:val="21"/>
      <w:szCs w:val="21"/>
      <w:lang w:val="en-US" w:eastAsia="zh-CN" w:bidi="ar-SA"/>
    </w:rPr>
  </w:style>
  <w:style w:type="paragraph" w:customStyle="1" w:styleId="52">
    <w:name w:val="表蕊"/>
    <w:basedOn w:val="1"/>
    <w:qFormat/>
    <w:uiPriority w:val="0"/>
    <w:pPr>
      <w:adjustRightInd w:val="0"/>
      <w:spacing w:line="320" w:lineRule="atLeast"/>
      <w:jc w:val="left"/>
      <w:textAlignment w:val="baseline"/>
    </w:pPr>
    <w:rPr>
      <w:rFonts w:eastAsia="楷体_GB2312"/>
      <w:spacing w:val="-10"/>
      <w:kern w:val="0"/>
    </w:rPr>
  </w:style>
  <w:style w:type="paragraph" w:styleId="53">
    <w:name w:val="List Paragraph"/>
    <w:basedOn w:val="1"/>
    <w:qFormat/>
    <w:uiPriority w:val="0"/>
    <w:pPr>
      <w:ind w:firstLine="420" w:firstLineChars="200"/>
    </w:pPr>
    <w:rPr>
      <w:szCs w:val="20"/>
    </w:rPr>
  </w:style>
  <w:style w:type="paragraph" w:customStyle="1" w:styleId="54">
    <w:name w:val="表格。。"/>
    <w:basedOn w:val="1"/>
    <w:qFormat/>
    <w:uiPriority w:val="0"/>
    <w:pPr>
      <w:jc w:val="center"/>
    </w:pPr>
  </w:style>
  <w:style w:type="character" w:customStyle="1" w:styleId="55">
    <w:name w:val="font01"/>
    <w:qFormat/>
    <w:uiPriority w:val="0"/>
    <w:rPr>
      <w:rFonts w:hint="eastAsia" w:ascii="宋体" w:hAnsi="宋体" w:eastAsia="宋体" w:cs="宋体"/>
      <w:color w:val="0000FF"/>
      <w:sz w:val="22"/>
      <w:szCs w:val="22"/>
      <w:u w:val="none"/>
    </w:rPr>
  </w:style>
  <w:style w:type="paragraph" w:customStyle="1" w:styleId="56">
    <w:name w:val="表格中文字"/>
    <w:basedOn w:val="1"/>
    <w:qFormat/>
    <w:uiPriority w:val="0"/>
    <w:pPr>
      <w:adjustRightInd w:val="0"/>
      <w:snapToGrid w:val="0"/>
      <w:jc w:val="center"/>
    </w:pPr>
    <w:rPr>
      <w:kern w:val="18"/>
      <w:szCs w:val="21"/>
    </w:rPr>
  </w:style>
  <w:style w:type="paragraph" w:customStyle="1" w:styleId="57">
    <w:name w:val="图表文字"/>
    <w:basedOn w:val="1"/>
    <w:qFormat/>
    <w:uiPriority w:val="0"/>
    <w:pPr>
      <w:widowControl/>
      <w:ind w:right="-107" w:rightChars="-51"/>
      <w:jc w:val="center"/>
    </w:pPr>
    <w:rPr>
      <w:rFonts w:ascii="宋体" w:hAnsi="宋体"/>
      <w:kern w:val="0"/>
      <w:sz w:val="22"/>
    </w:rPr>
  </w:style>
  <w:style w:type="paragraph" w:customStyle="1" w:styleId="58">
    <w:name w:val="表格文字"/>
    <w:basedOn w:val="1"/>
    <w:qFormat/>
    <w:uiPriority w:val="0"/>
    <w:pPr>
      <w:adjustRightInd w:val="0"/>
      <w:snapToGrid w:val="0"/>
      <w:jc w:val="center"/>
    </w:pPr>
    <w:rPr>
      <w:rFonts w:ascii="仿宋_GB2312" w:hAnsi="Arial Black" w:eastAsia="仿宋_GB2312"/>
      <w:kern w:val="44"/>
      <w:sz w:val="24"/>
    </w:rPr>
  </w:style>
  <w:style w:type="paragraph" w:customStyle="1" w:styleId="59">
    <w:name w:val="霍尼韦尔"/>
    <w:basedOn w:val="1"/>
    <w:qFormat/>
    <w:uiPriority w:val="0"/>
    <w:pPr>
      <w:spacing w:line="480" w:lineRule="exact"/>
      <w:ind w:firstLine="480" w:firstLineChars="200"/>
      <w:jc w:val="left"/>
    </w:pPr>
    <w:rPr>
      <w:kern w:val="0"/>
      <w:sz w:val="24"/>
    </w:rPr>
  </w:style>
  <w:style w:type="paragraph" w:customStyle="1" w:styleId="60">
    <w:name w:val="样式 标题 1 + 加粗"/>
    <w:basedOn w:val="2"/>
    <w:qFormat/>
    <w:uiPriority w:val="0"/>
    <w:rPr>
      <w:rFonts w:ascii="宋体" w:hAnsi="宋体" w:eastAsia="宋体"/>
      <w:b/>
    </w:rPr>
  </w:style>
  <w:style w:type="paragraph" w:customStyle="1" w:styleId="61">
    <w:name w:val="第一、五章 表格正文"/>
    <w:basedOn w:val="7"/>
    <w:qFormat/>
    <w:uiPriority w:val="0"/>
    <w:pPr>
      <w:jc w:val="center"/>
    </w:pPr>
    <w:rPr>
      <w:rFonts w:eastAsia="仿宋_GB2312"/>
    </w:rPr>
  </w:style>
  <w:style w:type="paragraph" w:customStyle="1" w:styleId="62">
    <w:name w:val="二级无标题条"/>
    <w:basedOn w:val="1"/>
    <w:qFormat/>
    <w:uiPriority w:val="0"/>
  </w:style>
  <w:style w:type="paragraph" w:customStyle="1" w:styleId="63">
    <w:name w:val="表格内容"/>
    <w:basedOn w:val="18"/>
    <w:qFormat/>
    <w:uiPriority w:val="0"/>
    <w:pPr>
      <w:overflowPunct w:val="0"/>
      <w:adjustRightInd w:val="0"/>
      <w:spacing w:before="40" w:after="60" w:line="200" w:lineRule="atLeast"/>
      <w:textAlignment w:val="baseline"/>
    </w:pPr>
    <w:rPr>
      <w:rFonts w:ascii="Arial" w:hAnsi="Arial" w:eastAsia="仿宋_GB2312"/>
      <w:kern w:val="0"/>
      <w:sz w:val="24"/>
    </w:rPr>
  </w:style>
  <w:style w:type="paragraph" w:customStyle="1" w:styleId="64">
    <w:name w:val="加粗（无缩进）"/>
    <w:basedOn w:val="1"/>
    <w:qFormat/>
    <w:uiPriority w:val="0"/>
    <w:pPr>
      <w:spacing w:line="400" w:lineRule="exact"/>
    </w:pPr>
    <w:rPr>
      <w:rFonts w:eastAsia="仿宋_GB2312"/>
      <w:b/>
      <w:bCs/>
      <w:sz w:val="24"/>
    </w:rPr>
  </w:style>
  <w:style w:type="paragraph" w:customStyle="1" w:styleId="65">
    <w:name w:val="报告正文"/>
    <w:unhideWhenUsed/>
    <w:qFormat/>
    <w:uiPriority w:val="0"/>
    <w:pPr>
      <w:spacing w:line="360" w:lineRule="auto"/>
      <w:ind w:firstLine="200" w:firstLineChars="200"/>
    </w:pPr>
    <w:rPr>
      <w:rFonts w:ascii="Times New Roman" w:hAnsi="Times New Roman" w:eastAsia="宋体" w:cs="Times New Roman"/>
      <w:kern w:val="44"/>
      <w:sz w:val="24"/>
      <w:szCs w:val="24"/>
      <w:lang w:val="en-US" w:eastAsia="zh-CN" w:bidi="ar-SA"/>
    </w:rPr>
  </w:style>
  <w:style w:type="paragraph" w:customStyle="1" w:styleId="66">
    <w:name w:val="小四表文左齐"/>
    <w:basedOn w:val="1"/>
    <w:unhideWhenUsed/>
    <w:qFormat/>
    <w:uiPriority w:val="99"/>
    <w:pPr>
      <w:spacing w:before="100" w:after="100"/>
      <w:jc w:val="center"/>
    </w:pPr>
    <w:rPr>
      <w:rFonts w:hint="eastAsia" w:ascii="宋体" w:hAnsi="宋体" w:cs="宋体"/>
    </w:rPr>
  </w:style>
  <w:style w:type="paragraph" w:customStyle="1" w:styleId="67">
    <w:name w:val="表蕊居中"/>
    <w:qFormat/>
    <w:uiPriority w:val="0"/>
    <w:pPr>
      <w:spacing w:line="320" w:lineRule="exact"/>
      <w:jc w:val="center"/>
    </w:pPr>
    <w:rPr>
      <w:rFonts w:ascii="Times New Roman" w:hAnsi="Times New Roman" w:eastAsia="宋体" w:cs="Times New Roman"/>
      <w:spacing w:val="8"/>
      <w:sz w:val="21"/>
      <w:szCs w:val="28"/>
      <w:lang w:val="en-US" w:eastAsia="zh-CN" w:bidi="ar-SA"/>
    </w:rPr>
  </w:style>
  <w:style w:type="paragraph" w:customStyle="1" w:styleId="68">
    <w:name w:val="表格内"/>
    <w:basedOn w:val="1"/>
    <w:qFormat/>
    <w:uiPriority w:val="0"/>
    <w:pPr>
      <w:adjustRightInd w:val="0"/>
      <w:spacing w:line="240" w:lineRule="atLeast"/>
      <w:jc w:val="center"/>
      <w:textAlignment w:val="baseline"/>
    </w:pPr>
    <w:rPr>
      <w:rFonts w:ascii="宋体"/>
      <w:kern w:val="0"/>
      <w:szCs w:val="20"/>
    </w:rPr>
  </w:style>
  <w:style w:type="paragraph" w:customStyle="1" w:styleId="69">
    <w:name w:val="h"/>
    <w:basedOn w:val="1"/>
    <w:unhideWhenUsed/>
    <w:uiPriority w:val="0"/>
    <w:pPr>
      <w:spacing w:before="60" w:beforeLines="0" w:afterLines="0"/>
      <w:ind w:firstLine="482"/>
    </w:pPr>
    <w:rPr>
      <w:rFonts w:hint="default" w:ascii="Arial" w:hAnsi="Arial" w:eastAsia="仿宋_GB2312"/>
      <w:kern w:val="0"/>
      <w:sz w:val="24"/>
      <w:szCs w:val="24"/>
    </w:rPr>
  </w:style>
  <w:style w:type="character" w:customStyle="1" w:styleId="70">
    <w:name w:val="A表头"/>
    <w:unhideWhenUsed/>
    <w:qFormat/>
    <w:uiPriority w:val="0"/>
    <w:rPr>
      <w:rFonts w:hint="default" w:ascii="Times New Roman" w:hAnsi="Times New Roman" w:eastAsia="仿宋"/>
      <w:b/>
      <w:sz w:val="24"/>
      <w:szCs w:val="24"/>
    </w:rPr>
  </w:style>
  <w:style w:type="paragraph" w:customStyle="1" w:styleId="71">
    <w:name w:val="框图"/>
    <w:basedOn w:val="1"/>
    <w:qFormat/>
    <w:uiPriority w:val="0"/>
    <w:pPr>
      <w:adjustRightInd w:val="0"/>
      <w:snapToGrid w:val="0"/>
      <w:jc w:val="center"/>
    </w:pPr>
    <w:rPr>
      <w:rFonts w:ascii="宋体" w:hAnsi="宋体"/>
      <w:szCs w:val="21"/>
    </w:rPr>
  </w:style>
  <w:style w:type="character" w:customStyle="1" w:styleId="72">
    <w:name w:val="font21"/>
    <w:basedOn w:val="25"/>
    <w:qFormat/>
    <w:uiPriority w:val="0"/>
    <w:rPr>
      <w:rFonts w:hint="eastAsia" w:ascii="宋体" w:hAnsi="宋体" w:eastAsia="宋体" w:cs="宋体"/>
      <w:color w:val="000000"/>
      <w:sz w:val="22"/>
      <w:szCs w:val="22"/>
      <w:u w:val="none"/>
    </w:rPr>
  </w:style>
  <w:style w:type="character" w:customStyle="1" w:styleId="73">
    <w:name w:val="font1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emf"/><Relationship Id="rId15" Type="http://schemas.openxmlformats.org/officeDocument/2006/relationships/oleObject" Target="embeddings/oleObject1.bin"/><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Q1OTUzNDA2NjA0IiwKCSJHcm91cElkIiA6ICIxOTU1MDExNjAiLAoJIkltYWdlIiA6ICJpVkJPUncwS0dnb0FBQUFOU1VoRVVnQUFBK01BQUFIUUNBWUFBQURLOWJ2NkFBQUFDWEJJV1hNQUFBc1RBQUFMRXdFQW1wd1lBQUFnQUVsRVFWUjRuT3pkZTN3VTFmMy84ZmRzYm5KSmpDZ0lXTEdpS0JVUXN1SFNmRVV1a3ZpRkNvU0xnQ0lnZkt0RVVZb29pcVhXSWw1QVZDd29LQmlSQmlzS2lJRGdEZmtDU2hId1N5SzNhS1hsUjJ0cUV4SWdDUUhaM2V5ZTN4OUp0b1FFRXNJbXMwbGV6OGNqajh6TU9YUG1zNWRNOXJQbnpCa0p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hpai93ZEJlYjhBbDZrejlnQUFBQUJKUlU1RXJrSmdnZz09IiwKCSJUaGVtZSIgOiAiIiwKCSJUeXBlIiA6ICJmbG93IiwKCSJWZXJzaW9uIiA6ICIxMzIiCn0K"/>
    </extobj>
    <extobj name="ECB019B1-382A-4266-B25C-5B523AA43C14-2">
      <extobjdata type="ECB019B1-382A-4266-B25C-5B523AA43C14" data="ewoJIkZpbGVJZCIgOiAiMTQ0MTQ4OTkwMzcyIiwKCSJHcm91cElkIiA6ICIxOTU1MDExNjAiLAoJIkltYWdlIiA6ICJpVkJPUncwS0dnb0FBQUFOU1VoRVVnQUFBbEFBQUFMZkNBWUFBQUN1QlB4SUFBQUFDWEJJV1hNQUFBc1RBQUFMRXdFQW1wd1lBQUFnQUVsRVFWUjRuT3pkZDF4VFZ4c0g4RjlZNHNCRnJidmErdnBxNitzZ0VSd0ZSUlFGUlFTcnRHNnBFd2ZGQlpWV2hRN3JxSFdBVzNFcm9oVVZCQlZSY1l0RnJCTkZGQVZGUUdaWUNVbk8rd2ZOTFNGaEJJUXdudS9udzhmazNIUHZmVzRNNU1sWkZ5Q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"/>
    </extobj>
    <extobj name="ECB019B1-382A-4266-B25C-5B523AA43C14-3">
      <extobjdata type="ECB019B1-382A-4266-B25C-5B523AA43C14" data="ewoJIkZpbGVJZCIgOiAiMTQ0MTYxNDE3Nzk5IiwKCSJHcm91cElkIiA6ICIxOTU1MDExNjAiLAoJIkltYWdlIiA6ICJpVkJPUncwS0dnb0FBQUFOU1VoRVVnQUFBaGtBQUFMckNBWUFBQUJUUUpXWkFBQUFDWEJJV1hNQUFBc1RBQUFMRXdFQW1wd1lBQUFnQUVsRVFWUjRuT3pkZDNnVTVkb0c4SHQyMDhEUVZFQ2FFTUVEZklpd0d4TU1vRUFnbW1qb2dwVEFBUlVGa2FKZ2tDcUNDaW9LaHQ2UjNnd2xvWWFTME10Sm9Tb2xnRklEb2FSdGtrMTIzdStQdUdPV2JDclpURUx1MzNWeE9mTk9lMmJkN0Q3N3RnR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"/>
    </extobj>
    <extobj name="ECB019B1-382A-4266-B25C-5B523AA43C14-4">
      <extobjdata type="ECB019B1-382A-4266-B25C-5B523AA43C14" data="ewoJIkZpbGVJZCIgOiAiMTQ0MjA1MDk1Mjg1IiwKCSJHcm91cElkIiA6ICIxOTU1MDExNjAiLAoJIkltYWdlIiA6ICJpVkJPUncwS0dnb0FBQUFOU1VoRVVnQUFBam9BQUFMYUNBWUFBQUE0RFBsQ0FBQUFDWEJJV1hNQUFBc1RBQUFMRXdFQW1wd1lBQUFnQUVsRVFWUjRuT3pkZVZoVVpmc0g4Tzg1dzY2aWlFdHVxYVNtbFNrekllSkM0TkpQekV4UktKVjhwZHd5dDl4eFNaUlNNeGZVWEhQQkpTVTFFa0hRM01CeVFXTW1jSG5kRWhBVVVWSkIxb0U1eis4UG5QTXl6QXdNaUF5TTkrZTZ2Smc1NjMzd2NPYWVad1V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"/>
    </extobj>
    <extobj name="ECB019B1-382A-4266-B25C-5B523AA43C14-5">
      <extobjdata type="ECB019B1-382A-4266-B25C-5B523AA43C14" data="ewoJIkZpbGVJZCIgOiAiMTQ0MTYxNDE3Nzk5IiwKCSJHcm91cElkIiA6ICIxOTU1MDExNjAiLAoJIkltYWdlIiA6ICJpVkJPUncwS0dnb0FBQUFOU1VoRVVnQUFBaGtBQUFMckNBWUFBQUJUUUpXWkFBQUFDWEJJV1hNQUFBc1RBQUFMRXdFQW1wd1lBQUFnQUVsRVFWUjRuT3pkZDNnVTVkb0c4SHQyMDhEUVZFQ2FFTUVEZklpd0d4TU1vRUFnbW1qb2dwVEFBUlVGa2FKZ2tDcUNDaW9LaHQ2UjNnd2xvWWFTME10Sm9Tb2xnRklEb2FSdGtrMTIzdStQdUdPV2JDclpURUx1MzNWeE9mTk9lMmJkN0Q3N3RnR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6685</Words>
  <Characters>38107</Characters>
  <Lines>317</Lines>
  <Paragraphs>89</Paragraphs>
  <TotalTime>4</TotalTime>
  <ScaleCrop>false</ScaleCrop>
  <LinksUpToDate>false</LinksUpToDate>
  <CharactersWithSpaces>44703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2021-11-06T14:19:00Z</dcterms:created>
  <dc:creator>xu luling</dc:creator>
  <cp:lastModifiedBy>张佳</cp:lastModifiedBy>
  <cp:lastPrinted>2021-05-12T03:13:00Z</cp:lastPrinted>
  <dcterms:modified xsi:type="dcterms:W3CDTF">2021-12-27T06:32:11Z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3683928D1F144A86804435E961D4E3F8</vt:lpwstr>
  </property>
</Properties>
</file>